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083497D9" w:rsidR="0047783A" w:rsidRPr="00B5440B" w:rsidRDefault="0047783A" w:rsidP="00035D61">
      <w:pPr>
        <w:pStyle w:val="Balk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14:paraId="1B4ECA1C" w14:textId="3317773A"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These conditions amplify and supplement</w:t>
      </w:r>
      <w:r w:rsidR="00317D86">
        <w:rPr>
          <w:rFonts w:ascii="Times New Roman" w:hAnsi="Times New Roman"/>
          <w:sz w:val="22"/>
          <w:szCs w:val="22"/>
        </w:rPr>
        <w:t xml:space="preserve"> </w:t>
      </w:r>
      <w:r w:rsidRPr="003D6B6C">
        <w:rPr>
          <w:rFonts w:ascii="Times New Roman" w:hAnsi="Times New Roman"/>
          <w:sz w:val="22"/>
          <w:szCs w:val="22"/>
        </w:rPr>
        <w:t xml:space="preserve">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w:t>
      </w:r>
      <w:r w:rsidR="00317D86">
        <w:rPr>
          <w:rFonts w:ascii="Times New Roman" w:hAnsi="Times New Roman"/>
          <w:sz w:val="22"/>
          <w:szCs w:val="22"/>
        </w:rPr>
        <w:t xml:space="preserve"> </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14:paraId="17152D5C" w14:textId="77777777"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14:paraId="41BD770A" w14:textId="77777777" w:rsidR="00DF0F0D" w:rsidRPr="000F3060" w:rsidRDefault="005E1E2F" w:rsidP="00DF0F0D">
      <w:pPr>
        <w:pStyle w:val="Balk2"/>
        <w:keepNext w:val="0"/>
        <w:spacing w:before="0"/>
        <w:ind w:left="567" w:hanging="567"/>
        <w:jc w:val="both"/>
        <w:rPr>
          <w:rFonts w:ascii="Times New Roman" w:hAnsi="Times New Roman"/>
          <w:sz w:val="22"/>
          <w:lang w:val="en-US"/>
        </w:rPr>
      </w:pPr>
      <w:bookmarkStart w:id="3" w:name="_Hlk132980677"/>
      <w:r w:rsidRPr="00E82463">
        <w:rPr>
          <w:rFonts w:ascii="Times New Roman" w:hAnsi="Times New Roman"/>
          <w:sz w:val="22"/>
          <w:lang w:val="en-GB"/>
        </w:rPr>
        <w:t>The subject of the contract is</w:t>
      </w:r>
      <w:r>
        <w:rPr>
          <w:rFonts w:ascii="Times New Roman" w:hAnsi="Times New Roman"/>
          <w:sz w:val="22"/>
          <w:lang w:val="en-GB"/>
        </w:rPr>
        <w:t>:</w:t>
      </w:r>
      <w:r w:rsidR="00DF0F0D">
        <w:rPr>
          <w:rFonts w:ascii="Times New Roman" w:hAnsi="Times New Roman"/>
          <w:sz w:val="22"/>
          <w:lang w:val="en-GB"/>
        </w:rPr>
        <w:t xml:space="preserve"> </w:t>
      </w:r>
      <w:r w:rsidR="00DF0F0D" w:rsidRPr="000F3060">
        <w:rPr>
          <w:rFonts w:ascii="Times New Roman" w:hAnsi="Times New Roman"/>
          <w:sz w:val="22"/>
          <w:lang w:val="en-US"/>
        </w:rPr>
        <w:t xml:space="preserve">manufacturing, delivery, unloading and installation of the following supplies: </w:t>
      </w:r>
    </w:p>
    <w:p w14:paraId="15242C8C" w14:textId="77777777" w:rsidR="005E1E2F" w:rsidRDefault="005E1E2F" w:rsidP="005E1E2F">
      <w:pPr>
        <w:spacing w:before="0" w:after="0"/>
        <w:jc w:val="both"/>
        <w:rPr>
          <w:rFonts w:ascii="Times New Roman" w:hAnsi="Times New Roman"/>
          <w:sz w:val="22"/>
        </w:rPr>
      </w:pPr>
    </w:p>
    <w:tbl>
      <w:tblPr>
        <w:tblW w:w="6648" w:type="dxa"/>
        <w:tblInd w:w="1189" w:type="dxa"/>
        <w:tblLayout w:type="fixed"/>
        <w:tblCellMar>
          <w:left w:w="0" w:type="dxa"/>
          <w:right w:w="0" w:type="dxa"/>
        </w:tblCellMar>
        <w:tblLook w:val="04A0" w:firstRow="1" w:lastRow="0" w:firstColumn="1" w:lastColumn="0" w:noHBand="0" w:noVBand="1"/>
      </w:tblPr>
      <w:tblGrid>
        <w:gridCol w:w="1766"/>
        <w:gridCol w:w="3251"/>
        <w:gridCol w:w="1631"/>
      </w:tblGrid>
      <w:tr w:rsidR="005E1E2F" w:rsidRPr="00437C56" w14:paraId="3C767A21" w14:textId="77777777" w:rsidTr="005E1E2F">
        <w:tc>
          <w:tcPr>
            <w:tcW w:w="1766" w:type="dxa"/>
            <w:shd w:val="clear" w:color="auto" w:fill="F2F2F2"/>
            <w:vAlign w:val="center"/>
          </w:tcPr>
          <w:p w14:paraId="56C81BB2" w14:textId="77777777" w:rsidR="005E1E2F" w:rsidRPr="00437C56" w:rsidRDefault="005E1E2F" w:rsidP="00D61D8F">
            <w:pPr>
              <w:pStyle w:val="TableContents"/>
              <w:spacing w:line="288" w:lineRule="auto"/>
              <w:jc w:val="center"/>
              <w:rPr>
                <w:rFonts w:ascii="Times New Roman" w:hAnsi="Times New Roman"/>
                <w:b/>
                <w:color w:val="000000"/>
                <w:sz w:val="22"/>
              </w:rPr>
            </w:pPr>
            <w:r w:rsidRPr="00437C56">
              <w:rPr>
                <w:rFonts w:ascii="Times New Roman" w:hAnsi="Times New Roman"/>
                <w:b/>
                <w:color w:val="000000"/>
                <w:sz w:val="22"/>
              </w:rPr>
              <w:t>Item Number</w:t>
            </w:r>
          </w:p>
        </w:tc>
        <w:tc>
          <w:tcPr>
            <w:tcW w:w="3251" w:type="dxa"/>
            <w:shd w:val="clear" w:color="auto" w:fill="F2F2F2"/>
            <w:vAlign w:val="center"/>
          </w:tcPr>
          <w:p w14:paraId="55DB5427" w14:textId="77777777" w:rsidR="005E1E2F" w:rsidRPr="00437C56" w:rsidRDefault="005E1E2F" w:rsidP="00D61D8F">
            <w:pPr>
              <w:pStyle w:val="TableContents"/>
              <w:spacing w:line="288" w:lineRule="auto"/>
              <w:rPr>
                <w:rFonts w:ascii="Times New Roman" w:hAnsi="Times New Roman"/>
                <w:b/>
                <w:color w:val="000000"/>
                <w:sz w:val="22"/>
              </w:rPr>
            </w:pPr>
            <w:r>
              <w:rPr>
                <w:rFonts w:ascii="Times New Roman" w:hAnsi="Times New Roman"/>
                <w:b/>
                <w:color w:val="000000"/>
                <w:sz w:val="22"/>
              </w:rPr>
              <w:t xml:space="preserve">                         </w:t>
            </w:r>
            <w:r w:rsidRPr="00437C56">
              <w:rPr>
                <w:rFonts w:ascii="Times New Roman" w:hAnsi="Times New Roman"/>
                <w:b/>
                <w:color w:val="000000"/>
                <w:sz w:val="22"/>
              </w:rPr>
              <w:t>Item</w:t>
            </w:r>
          </w:p>
        </w:tc>
        <w:tc>
          <w:tcPr>
            <w:tcW w:w="1631" w:type="dxa"/>
            <w:shd w:val="clear" w:color="auto" w:fill="F2F2F2"/>
            <w:vAlign w:val="center"/>
          </w:tcPr>
          <w:p w14:paraId="5A3849DD" w14:textId="77777777" w:rsidR="005E1E2F" w:rsidRPr="00437C56" w:rsidRDefault="005E1E2F" w:rsidP="00D61D8F">
            <w:pPr>
              <w:pStyle w:val="TableContents"/>
              <w:spacing w:line="288" w:lineRule="auto"/>
              <w:rPr>
                <w:rFonts w:ascii="Times New Roman" w:hAnsi="Times New Roman"/>
                <w:b/>
                <w:color w:val="000000"/>
                <w:sz w:val="22"/>
              </w:rPr>
            </w:pPr>
            <w:r w:rsidRPr="00437C56">
              <w:rPr>
                <w:rFonts w:ascii="Times New Roman" w:hAnsi="Times New Roman"/>
                <w:b/>
                <w:color w:val="000000"/>
                <w:sz w:val="22"/>
              </w:rPr>
              <w:t>Number of Units</w:t>
            </w:r>
          </w:p>
        </w:tc>
      </w:tr>
      <w:tr w:rsidR="005E1E2F" w:rsidRPr="00437C56" w14:paraId="091CDF60" w14:textId="77777777" w:rsidTr="005E1E2F">
        <w:tc>
          <w:tcPr>
            <w:tcW w:w="6648" w:type="dxa"/>
            <w:gridSpan w:val="3"/>
            <w:vAlign w:val="center"/>
          </w:tcPr>
          <w:p w14:paraId="28380B79" w14:textId="77777777" w:rsidR="005E1E2F" w:rsidRPr="00437C56" w:rsidRDefault="005E1E2F" w:rsidP="00D61D8F">
            <w:pPr>
              <w:pStyle w:val="TableContents"/>
              <w:spacing w:before="0" w:after="0" w:line="288" w:lineRule="auto"/>
              <w:rPr>
                <w:rFonts w:ascii="Times New Roman" w:hAnsi="Times New Roman"/>
                <w:b/>
                <w:color w:val="000000"/>
                <w:sz w:val="22"/>
              </w:rPr>
            </w:pPr>
          </w:p>
        </w:tc>
      </w:tr>
      <w:tr w:rsidR="005E1E2F" w:rsidRPr="00437C56" w14:paraId="1F713A32" w14:textId="77777777" w:rsidTr="005E1E2F">
        <w:tc>
          <w:tcPr>
            <w:tcW w:w="1766" w:type="dxa"/>
            <w:vAlign w:val="center"/>
          </w:tcPr>
          <w:p w14:paraId="33B2251E" w14:textId="77777777" w:rsidR="005E1E2F" w:rsidRPr="00437C56" w:rsidRDefault="005E1E2F" w:rsidP="00D61D8F">
            <w:pPr>
              <w:pStyle w:val="TableContents"/>
              <w:spacing w:before="0" w:after="0" w:line="288" w:lineRule="auto"/>
              <w:jc w:val="center"/>
              <w:rPr>
                <w:rFonts w:ascii="Times New Roman" w:hAnsi="Times New Roman"/>
                <w:bCs/>
                <w:color w:val="000000"/>
                <w:sz w:val="22"/>
              </w:rPr>
            </w:pPr>
            <w:r w:rsidRPr="00437C56">
              <w:rPr>
                <w:rFonts w:ascii="Times New Roman" w:hAnsi="Times New Roman"/>
                <w:bCs/>
                <w:color w:val="000000"/>
                <w:sz w:val="22"/>
              </w:rPr>
              <w:t>1</w:t>
            </w:r>
          </w:p>
        </w:tc>
        <w:tc>
          <w:tcPr>
            <w:tcW w:w="3251" w:type="dxa"/>
            <w:vAlign w:val="center"/>
          </w:tcPr>
          <w:p w14:paraId="5446AF10" w14:textId="1DCDECE7" w:rsidR="005E1E2F" w:rsidRPr="001C3943" w:rsidRDefault="005E1E2F" w:rsidP="001C3943">
            <w:pPr>
              <w:pStyle w:val="ListeParagraf"/>
              <w:shd w:val="clear" w:color="auto" w:fill="FFFFFF"/>
              <w:ind w:left="0"/>
              <w:rPr>
                <w:rStyle w:val="Gl"/>
                <w:rFonts w:ascii="Times New Roman" w:eastAsia="Times New Roman" w:hAnsi="Times New Roman"/>
                <w:b w:val="0"/>
                <w:snapToGrid w:val="0"/>
                <w:lang w:val="sv-SE"/>
              </w:rPr>
            </w:pPr>
            <w:r>
              <w:rPr>
                <w:b/>
              </w:rPr>
              <w:t>I</w:t>
            </w:r>
            <w:r w:rsidRPr="00FB33A3">
              <w:rPr>
                <w:b/>
              </w:rPr>
              <w:t>nduction melting furnace system</w:t>
            </w:r>
            <w:r w:rsidR="004B609A">
              <w:rPr>
                <w:b/>
              </w:rPr>
              <w:t>-</w:t>
            </w:r>
            <w:r w:rsidR="001C3943">
              <w:rPr>
                <w:b/>
              </w:rPr>
              <w:t xml:space="preserve"> </w:t>
            </w:r>
            <w:r w:rsidR="001C3943" w:rsidRPr="004B609A">
              <w:rPr>
                <w:bCs/>
              </w:rPr>
              <w:t>Two pots,</w:t>
            </w:r>
            <w:r w:rsidR="001C3943">
              <w:rPr>
                <w:b/>
              </w:rPr>
              <w:t xml:space="preserve"> </w:t>
            </w:r>
            <w:r w:rsidR="001C3943" w:rsidRPr="001C3943">
              <w:rPr>
                <w:rFonts w:ascii="Arial" w:hAnsi="Arial"/>
                <w:bCs/>
                <w:sz w:val="20"/>
                <w:szCs w:val="20"/>
              </w:rPr>
              <w:t xml:space="preserve">Loading capacity: 1000 kg per pot, </w:t>
            </w:r>
            <w:r w:rsidR="001C3943" w:rsidRPr="00016975">
              <w:rPr>
                <w:rFonts w:ascii="Times New Roman" w:eastAsia="Times New Roman" w:hAnsi="Times New Roman"/>
                <w:snapToGrid w:val="0"/>
                <w:lang w:val="sv-SE"/>
              </w:rPr>
              <w:t xml:space="preserve">Power and control unit for 600 kW melting </w:t>
            </w:r>
          </w:p>
        </w:tc>
        <w:tc>
          <w:tcPr>
            <w:tcW w:w="1631" w:type="dxa"/>
            <w:vAlign w:val="center"/>
          </w:tcPr>
          <w:p w14:paraId="36B6D75F" w14:textId="77777777" w:rsidR="005E1E2F" w:rsidRPr="00437C56" w:rsidRDefault="005E1E2F" w:rsidP="00D61D8F">
            <w:pPr>
              <w:pStyle w:val="TableContents"/>
              <w:spacing w:before="0" w:after="0" w:line="288" w:lineRule="auto"/>
              <w:jc w:val="center"/>
              <w:rPr>
                <w:rFonts w:ascii="Times New Roman" w:hAnsi="Times New Roman"/>
                <w:bCs/>
                <w:color w:val="000000"/>
                <w:sz w:val="22"/>
              </w:rPr>
            </w:pPr>
            <w:r>
              <w:rPr>
                <w:rFonts w:ascii="Times New Roman" w:hAnsi="Times New Roman"/>
                <w:bCs/>
                <w:color w:val="000000"/>
                <w:sz w:val="22"/>
              </w:rPr>
              <w:t>1 Unit</w:t>
            </w:r>
          </w:p>
        </w:tc>
      </w:tr>
    </w:tbl>
    <w:p w14:paraId="3473BA8A" w14:textId="77777777" w:rsidR="005E1E2F" w:rsidRDefault="005E1E2F" w:rsidP="005E1E2F">
      <w:pPr>
        <w:spacing w:before="0" w:after="0"/>
        <w:jc w:val="both"/>
        <w:rPr>
          <w:rFonts w:ascii="Times New Roman" w:hAnsi="Times New Roman"/>
          <w:sz w:val="22"/>
        </w:rPr>
      </w:pPr>
    </w:p>
    <w:p w14:paraId="16F5A376" w14:textId="34BE9DC2" w:rsidR="005E1E2F" w:rsidRPr="005E1E2F" w:rsidRDefault="005E1E2F" w:rsidP="005E1E2F">
      <w:pPr>
        <w:pStyle w:val="Blockquote"/>
        <w:spacing w:before="40" w:after="60"/>
        <w:ind w:left="284" w:right="0"/>
        <w:jc w:val="both"/>
        <w:rPr>
          <w:rFonts w:ascii="Times New Roman" w:hAnsi="Times New Roman"/>
          <w:sz w:val="22"/>
          <w:szCs w:val="22"/>
          <w:lang w:val="en-GB"/>
        </w:rPr>
      </w:pPr>
      <w:r w:rsidRPr="00656F32">
        <w:rPr>
          <w:rFonts w:ascii="Times New Roman" w:hAnsi="Times New Roman"/>
          <w:sz w:val="22"/>
        </w:rPr>
        <w:t>The supplies must be delivered DDP</w:t>
      </w:r>
      <w:r w:rsidRPr="00656F32">
        <w:rPr>
          <w:rStyle w:val="DipnotBavurusu"/>
          <w:rFonts w:ascii="Times New Roman" w:hAnsi="Times New Roman"/>
          <w:sz w:val="22"/>
        </w:rPr>
        <w:footnoteReference w:id="1"/>
      </w:r>
      <w:r w:rsidRPr="00656F32">
        <w:rPr>
          <w:rFonts w:ascii="Times New Roman" w:hAnsi="Times New Roman"/>
          <w:sz w:val="22"/>
        </w:rPr>
        <w:t xml:space="preserve">, at </w:t>
      </w:r>
      <w:bookmarkStart w:id="4" w:name="_Hlk169255215"/>
      <w:r w:rsidRPr="00FB33A3">
        <w:rPr>
          <w:rFonts w:ascii="Times New Roman" w:hAnsi="Times New Roman"/>
          <w:sz w:val="22"/>
          <w:szCs w:val="22"/>
          <w:lang w:val="en-GB"/>
        </w:rPr>
        <w:t xml:space="preserve">Vize Casting Industry and Trade Limited Company, Devlet </w:t>
      </w:r>
      <w:proofErr w:type="spellStart"/>
      <w:r w:rsidRPr="00FB33A3">
        <w:rPr>
          <w:rFonts w:ascii="Times New Roman" w:hAnsi="Times New Roman"/>
          <w:sz w:val="22"/>
          <w:szCs w:val="22"/>
          <w:lang w:val="en-GB"/>
        </w:rPr>
        <w:t>Mahallesi</w:t>
      </w:r>
      <w:proofErr w:type="spellEnd"/>
      <w:r w:rsidRPr="00FB33A3">
        <w:rPr>
          <w:rFonts w:ascii="Times New Roman" w:hAnsi="Times New Roman"/>
          <w:sz w:val="22"/>
          <w:szCs w:val="22"/>
          <w:lang w:val="en-GB"/>
        </w:rPr>
        <w:t xml:space="preserve"> Atat</w:t>
      </w:r>
      <w:r>
        <w:rPr>
          <w:rFonts w:ascii="Times New Roman" w:hAnsi="Times New Roman"/>
          <w:sz w:val="22"/>
          <w:szCs w:val="22"/>
          <w:lang w:val="en-GB"/>
        </w:rPr>
        <w:t>ü</w:t>
      </w:r>
      <w:r w:rsidRPr="00FB33A3">
        <w:rPr>
          <w:rFonts w:ascii="Times New Roman" w:hAnsi="Times New Roman"/>
          <w:sz w:val="22"/>
          <w:szCs w:val="22"/>
          <w:lang w:val="en-GB"/>
        </w:rPr>
        <w:t xml:space="preserve">rk </w:t>
      </w:r>
      <w:proofErr w:type="spellStart"/>
      <w:r w:rsidRPr="00FB33A3">
        <w:rPr>
          <w:rFonts w:ascii="Times New Roman" w:hAnsi="Times New Roman"/>
          <w:sz w:val="22"/>
          <w:szCs w:val="22"/>
          <w:lang w:val="en-GB"/>
        </w:rPr>
        <w:t>Caddesi</w:t>
      </w:r>
      <w:proofErr w:type="spellEnd"/>
      <w:r w:rsidRPr="00FB33A3">
        <w:rPr>
          <w:rFonts w:ascii="Times New Roman" w:hAnsi="Times New Roman"/>
          <w:sz w:val="22"/>
          <w:szCs w:val="22"/>
          <w:lang w:val="en-GB"/>
        </w:rPr>
        <w:t xml:space="preserve"> No:310 Vize / </w:t>
      </w:r>
      <w:proofErr w:type="spellStart"/>
      <w:r w:rsidRPr="00FB33A3">
        <w:rPr>
          <w:rFonts w:ascii="Times New Roman" w:hAnsi="Times New Roman"/>
          <w:sz w:val="22"/>
          <w:szCs w:val="22"/>
          <w:lang w:val="en-GB"/>
        </w:rPr>
        <w:t>K</w:t>
      </w:r>
      <w:r>
        <w:rPr>
          <w:rFonts w:ascii="Times New Roman" w:hAnsi="Times New Roman"/>
          <w:sz w:val="22"/>
          <w:szCs w:val="22"/>
          <w:lang w:val="en-GB"/>
        </w:rPr>
        <w:t>ır</w:t>
      </w:r>
      <w:r w:rsidRPr="00FB33A3">
        <w:rPr>
          <w:rFonts w:ascii="Times New Roman" w:hAnsi="Times New Roman"/>
          <w:sz w:val="22"/>
          <w:szCs w:val="22"/>
          <w:lang w:val="en-GB"/>
        </w:rPr>
        <w:t>klareli</w:t>
      </w:r>
      <w:proofErr w:type="spellEnd"/>
      <w:r w:rsidRPr="00FB33A3">
        <w:rPr>
          <w:rFonts w:ascii="Times New Roman" w:hAnsi="Times New Roman"/>
          <w:iCs/>
          <w:sz w:val="22"/>
          <w:szCs w:val="22"/>
          <w:lang w:val="tr-TR" w:eastAsia="tr-TR"/>
        </w:rPr>
        <w:t xml:space="preserve">/ </w:t>
      </w:r>
      <w:proofErr w:type="spellStart"/>
      <w:r w:rsidRPr="00656F32">
        <w:rPr>
          <w:rFonts w:ascii="Times New Roman" w:hAnsi="Times New Roman"/>
          <w:iCs/>
          <w:sz w:val="22"/>
          <w:szCs w:val="22"/>
          <w:lang w:val="tr-TR" w:eastAsia="tr-TR"/>
        </w:rPr>
        <w:t>Türkiye</w:t>
      </w:r>
      <w:bookmarkEnd w:id="4"/>
      <w:proofErr w:type="spellEnd"/>
      <w:r w:rsidRPr="00656F32">
        <w:rPr>
          <w:rFonts w:ascii="Times New Roman" w:hAnsi="Times New Roman"/>
          <w:iCs/>
          <w:sz w:val="22"/>
          <w:szCs w:val="22"/>
          <w:lang w:val="tr-TR" w:eastAsia="tr-TR"/>
        </w:rPr>
        <w:t xml:space="preserve"> </w:t>
      </w:r>
      <w:r w:rsidRPr="00656F32">
        <w:rPr>
          <w:rFonts w:ascii="Times New Roman" w:hAnsi="Times New Roman"/>
          <w:sz w:val="22"/>
        </w:rPr>
        <w:t>not later than the date/s as specified in accordance with the contract notice.</w:t>
      </w:r>
    </w:p>
    <w:p w14:paraId="46072CA1" w14:textId="27CDA312" w:rsidR="00C05EBE" w:rsidRPr="00C05EBE" w:rsidRDefault="00C05EBE" w:rsidP="00B5440B">
      <w:pPr>
        <w:spacing w:before="240"/>
        <w:outlineLvl w:val="0"/>
        <w:rPr>
          <w:rFonts w:ascii="Times New Roman" w:hAnsi="Times New Roman"/>
          <w:b/>
          <w:sz w:val="24"/>
          <w:szCs w:val="24"/>
        </w:rPr>
      </w:pPr>
      <w:r w:rsidRPr="00C05EBE">
        <w:rPr>
          <w:rFonts w:ascii="Times New Roman" w:hAnsi="Times New Roman"/>
          <w:b/>
          <w:sz w:val="24"/>
          <w:szCs w:val="24"/>
        </w:rPr>
        <w:t>Order of precedence of contract documents</w:t>
      </w:r>
    </w:p>
    <w:bookmarkEnd w:id="3"/>
    <w:p w14:paraId="7E8DCE3F" w14:textId="77777777"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14:paraId="344624D4" w14:textId="2C0D236F"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14:paraId="01FF9F87" w14:textId="553AF52C"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 xml:space="preserve">the technical offer (Annex </w:t>
      </w:r>
      <w:proofErr w:type="gramStart"/>
      <w:r w:rsidRPr="00C05EBE">
        <w:rPr>
          <w:rFonts w:ascii="Times New Roman" w:hAnsi="Times New Roman"/>
          <w:sz w:val="22"/>
        </w:rPr>
        <w:t xml:space="preserve">III </w:t>
      </w:r>
      <w:r w:rsidR="005E1E2F">
        <w:rPr>
          <w:rFonts w:ascii="Times New Roman" w:hAnsi="Times New Roman"/>
          <w:sz w:val="22"/>
        </w:rPr>
        <w:t>)</w:t>
      </w:r>
      <w:proofErr w:type="gramEnd"/>
      <w:r w:rsidR="005E1E2F">
        <w:rPr>
          <w:rFonts w:ascii="Times New Roman" w:hAnsi="Times New Roman"/>
          <w:sz w:val="22"/>
        </w:rPr>
        <w:t>;</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14:paraId="4411F209" w14:textId="4E134B42" w:rsidR="00C05EBE" w:rsidRPr="005E1E2F" w:rsidRDefault="00C05EBE" w:rsidP="00B5440B">
      <w:pPr>
        <w:numPr>
          <w:ilvl w:val="0"/>
          <w:numId w:val="1"/>
        </w:numPr>
        <w:tabs>
          <w:tab w:val="clear" w:pos="360"/>
        </w:tabs>
        <w:spacing w:before="0" w:after="240"/>
        <w:ind w:left="709" w:hanging="425"/>
        <w:jc w:val="both"/>
        <w:rPr>
          <w:rFonts w:ascii="Times New Roman" w:hAnsi="Times New Roman"/>
          <w:sz w:val="22"/>
        </w:rPr>
      </w:pPr>
      <w:r w:rsidRPr="005E1E2F">
        <w:rPr>
          <w:rFonts w:ascii="Times New Roman" w:hAnsi="Times New Roman"/>
          <w:sz w:val="22"/>
        </w:rPr>
        <w:t>specified forms and other relevant documents (Annex V);</w:t>
      </w:r>
    </w:p>
    <w:p w14:paraId="06DC3A15" w14:textId="77777777"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lastRenderedPageBreak/>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r w:rsidR="00556F39" w:rsidRPr="00556F39" w:rsidDel="00A73B34">
        <w:rPr>
          <w:rFonts w:ascii="Times New Roman" w:hAnsi="Times New Roman"/>
          <w:b/>
          <w:bCs/>
          <w:sz w:val="22"/>
          <w:szCs w:val="22"/>
        </w:rPr>
        <w:t xml:space="preserve">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C1C62E"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5"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5"/>
    </w:p>
    <w:p w14:paraId="3481FE5E" w14:textId="7BD3E1E0" w:rsidR="003F3783" w:rsidRPr="003F3783" w:rsidRDefault="000724EA" w:rsidP="00B5440B">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bookmarkStart w:id="6" w:name="_Hlk133420374"/>
      <w:r w:rsidR="003F3783" w:rsidRPr="003F3783">
        <w:rPr>
          <w:rFonts w:ascii="Times New Roman" w:hAnsi="Times New Roman"/>
          <w:sz w:val="22"/>
          <w:szCs w:val="22"/>
        </w:rPr>
        <w:t>Communication details</w:t>
      </w:r>
    </w:p>
    <w:p w14:paraId="7F1BE0E1" w14:textId="1471D4E6" w:rsidR="003F3783" w:rsidRDefault="003F3783" w:rsidP="00B5440B">
      <w:pPr>
        <w:ind w:left="1134" w:hanging="992"/>
        <w:jc w:val="both"/>
        <w:rPr>
          <w:rFonts w:ascii="Times New Roman" w:hAnsi="Times New Roman"/>
          <w:iCs/>
          <w:sz w:val="22"/>
          <w:szCs w:val="22"/>
        </w:rPr>
      </w:pPr>
      <w:bookmarkStart w:id="7" w:name="_Hlk133420420"/>
      <w:bookmarkEnd w:id="6"/>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14:paraId="3E118F28" w14:textId="77777777" w:rsidR="003F3783" w:rsidRDefault="003F3783" w:rsidP="00B5440B">
      <w:pPr>
        <w:spacing w:before="0"/>
        <w:ind w:left="1134"/>
        <w:jc w:val="both"/>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14:paraId="5722682D" w14:textId="77777777" w:rsidR="00ED5E1D" w:rsidRPr="003F3783" w:rsidRDefault="00ED5E1D" w:rsidP="00ED5E1D">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14:paraId="54DCDEFF" w14:textId="4D7980DF" w:rsidR="00ED5E1D" w:rsidRPr="00DF0F0D" w:rsidRDefault="00ED5E1D" w:rsidP="00DF0F0D">
      <w:pPr>
        <w:keepNext/>
        <w:keepLines/>
        <w:spacing w:before="0" w:after="0"/>
        <w:ind w:left="1134"/>
        <w:rPr>
          <w:rFonts w:ascii="Times New Roman" w:hAnsi="Times New Roman"/>
          <w:b/>
          <w:bCs/>
          <w:sz w:val="22"/>
          <w:szCs w:val="22"/>
          <w:lang w:val="en-US"/>
        </w:rPr>
      </w:pPr>
      <w:r w:rsidRPr="00B44082">
        <w:rPr>
          <w:rFonts w:ascii="Times New Roman" w:hAnsi="Times New Roman"/>
          <w:b/>
          <w:sz w:val="22"/>
          <w:szCs w:val="22"/>
        </w:rPr>
        <w:t>Contact person for the Contractor Authority:</w:t>
      </w:r>
      <w:r w:rsidR="00DF0F0D">
        <w:rPr>
          <w:rFonts w:ascii="Times New Roman" w:hAnsi="Times New Roman"/>
          <w:b/>
          <w:sz w:val="22"/>
          <w:szCs w:val="22"/>
        </w:rPr>
        <w:t xml:space="preserve"> </w:t>
      </w:r>
      <w:r w:rsidRPr="00DF0F0D">
        <w:rPr>
          <w:rFonts w:ascii="Times New Roman" w:hAnsi="Times New Roman"/>
          <w:b/>
          <w:bCs/>
          <w:sz w:val="22"/>
          <w:szCs w:val="22"/>
          <w:lang w:val="en-US"/>
        </w:rPr>
        <w:t xml:space="preserve">Hakan </w:t>
      </w:r>
      <w:proofErr w:type="spellStart"/>
      <w:r w:rsidRPr="00DF0F0D">
        <w:rPr>
          <w:rFonts w:ascii="Times New Roman" w:hAnsi="Times New Roman"/>
          <w:b/>
          <w:bCs/>
          <w:sz w:val="22"/>
          <w:szCs w:val="22"/>
          <w:lang w:val="en-US"/>
        </w:rPr>
        <w:t>Tuğran</w:t>
      </w:r>
      <w:proofErr w:type="spellEnd"/>
      <w:r w:rsidRPr="00DF0F0D">
        <w:rPr>
          <w:rFonts w:ascii="Times New Roman" w:hAnsi="Times New Roman"/>
          <w:b/>
          <w:bCs/>
          <w:sz w:val="22"/>
          <w:szCs w:val="22"/>
          <w:lang w:val="en-US"/>
        </w:rPr>
        <w:t xml:space="preserve"> / Manager </w:t>
      </w:r>
      <w:r w:rsidRPr="00DF0F0D">
        <w:rPr>
          <w:rFonts w:ascii="Times New Roman" w:hAnsi="Times New Roman"/>
          <w:b/>
          <w:bCs/>
          <w:sz w:val="22"/>
          <w:szCs w:val="22"/>
          <w:lang w:val="en-US"/>
        </w:rPr>
        <w:br/>
        <w:t xml:space="preserve">Address: </w:t>
      </w:r>
      <w:r w:rsidRPr="00DF0F0D">
        <w:rPr>
          <w:rFonts w:ascii="Times New Roman" w:hAnsi="Times New Roman"/>
          <w:b/>
          <w:bCs/>
          <w:color w:val="000000"/>
          <w:sz w:val="22"/>
          <w:szCs w:val="22"/>
        </w:rPr>
        <w:t xml:space="preserve">Devlet </w:t>
      </w:r>
      <w:proofErr w:type="spellStart"/>
      <w:r w:rsidRPr="00DF0F0D">
        <w:rPr>
          <w:rFonts w:ascii="Times New Roman" w:hAnsi="Times New Roman"/>
          <w:b/>
          <w:bCs/>
          <w:color w:val="000000"/>
          <w:sz w:val="22"/>
          <w:szCs w:val="22"/>
        </w:rPr>
        <w:t>Mahallesi</w:t>
      </w:r>
      <w:proofErr w:type="spellEnd"/>
      <w:r w:rsidRPr="00DF0F0D">
        <w:rPr>
          <w:rFonts w:ascii="Times New Roman" w:hAnsi="Times New Roman"/>
          <w:b/>
          <w:bCs/>
          <w:color w:val="000000"/>
          <w:sz w:val="22"/>
          <w:szCs w:val="22"/>
        </w:rPr>
        <w:t xml:space="preserve"> Atatürk </w:t>
      </w:r>
      <w:proofErr w:type="spellStart"/>
      <w:r w:rsidRPr="00DF0F0D">
        <w:rPr>
          <w:rFonts w:ascii="Times New Roman" w:hAnsi="Times New Roman"/>
          <w:b/>
          <w:bCs/>
          <w:color w:val="000000"/>
          <w:sz w:val="22"/>
          <w:szCs w:val="22"/>
        </w:rPr>
        <w:t>Caddesi</w:t>
      </w:r>
      <w:proofErr w:type="spellEnd"/>
      <w:r w:rsidRPr="00DF0F0D">
        <w:rPr>
          <w:rFonts w:ascii="Times New Roman" w:hAnsi="Times New Roman"/>
          <w:b/>
          <w:bCs/>
          <w:color w:val="000000"/>
          <w:sz w:val="22"/>
          <w:szCs w:val="22"/>
        </w:rPr>
        <w:t xml:space="preserve"> No:310 Vize / </w:t>
      </w:r>
      <w:proofErr w:type="spellStart"/>
      <w:r w:rsidRPr="00DF0F0D">
        <w:rPr>
          <w:rFonts w:ascii="Times New Roman" w:hAnsi="Times New Roman"/>
          <w:b/>
          <w:bCs/>
          <w:color w:val="000000"/>
          <w:sz w:val="22"/>
          <w:szCs w:val="22"/>
        </w:rPr>
        <w:t>Kırklareli</w:t>
      </w:r>
      <w:proofErr w:type="spellEnd"/>
      <w:r w:rsidRPr="00DF0F0D">
        <w:rPr>
          <w:rFonts w:ascii="Times New Roman" w:hAnsi="Times New Roman"/>
          <w:b/>
          <w:bCs/>
          <w:sz w:val="22"/>
          <w:szCs w:val="22"/>
          <w:lang w:val="tr-TR" w:eastAsia="tr-TR"/>
        </w:rPr>
        <w:t xml:space="preserve">/ </w:t>
      </w:r>
      <w:proofErr w:type="spellStart"/>
      <w:r w:rsidRPr="00DF0F0D">
        <w:rPr>
          <w:rFonts w:ascii="Times New Roman" w:hAnsi="Times New Roman"/>
          <w:b/>
          <w:bCs/>
          <w:sz w:val="22"/>
          <w:szCs w:val="22"/>
          <w:lang w:val="tr-TR" w:eastAsia="tr-TR"/>
        </w:rPr>
        <w:t>Türkiye</w:t>
      </w:r>
      <w:proofErr w:type="spellEnd"/>
      <w:r w:rsidRPr="008229B8">
        <w:rPr>
          <w:rFonts w:ascii="Times New Roman" w:hAnsi="Times New Roman"/>
          <w:b/>
          <w:bCs/>
          <w:i/>
          <w:iCs/>
          <w:sz w:val="22"/>
          <w:szCs w:val="22"/>
        </w:rPr>
        <w:br/>
      </w:r>
      <w:r w:rsidRPr="00DF0F0D">
        <w:rPr>
          <w:rFonts w:ascii="Times New Roman" w:hAnsi="Times New Roman"/>
          <w:b/>
          <w:bCs/>
          <w:sz w:val="22"/>
          <w:szCs w:val="22"/>
        </w:rPr>
        <w:t xml:space="preserve">E-mail: </w:t>
      </w:r>
      <w:hyperlink r:id="rId8" w:tgtFrame="_blank" w:history="1">
        <w:r w:rsidRPr="00DF0F0D">
          <w:rPr>
            <w:rStyle w:val="Kpr"/>
            <w:b/>
            <w:bCs/>
          </w:rPr>
          <w:t>bgtrprojectvize@gmail.com</w:t>
        </w:r>
      </w:hyperlink>
      <w:r w:rsidRPr="00DF0F0D">
        <w:t> </w:t>
      </w:r>
    </w:p>
    <w:p w14:paraId="153C7BCD" w14:textId="77777777" w:rsidR="00ED5E1D" w:rsidRPr="00DF0F0D" w:rsidRDefault="00ED5E1D" w:rsidP="00ED5E1D">
      <w:pPr>
        <w:keepNext/>
        <w:keepLines/>
        <w:spacing w:before="0" w:after="0"/>
        <w:ind w:left="828" w:firstLine="306"/>
        <w:rPr>
          <w:rFonts w:ascii="Times New Roman" w:hAnsi="Times New Roman"/>
          <w:sz w:val="22"/>
          <w:szCs w:val="22"/>
        </w:rPr>
      </w:pPr>
    </w:p>
    <w:p w14:paraId="4C663014" w14:textId="77777777" w:rsidR="00ED5E1D" w:rsidRDefault="00ED5E1D" w:rsidP="00ED5E1D">
      <w:pPr>
        <w:keepNext/>
        <w:keepLines/>
        <w:spacing w:before="0" w:after="0"/>
        <w:ind w:left="981" w:firstLine="153"/>
        <w:rPr>
          <w:rFonts w:ascii="Times New Roman" w:hAnsi="Times New Roman"/>
          <w:b/>
          <w:sz w:val="22"/>
          <w:szCs w:val="22"/>
        </w:rPr>
      </w:pPr>
      <w:r w:rsidRPr="004B5E80">
        <w:rPr>
          <w:rFonts w:ascii="Times New Roman" w:hAnsi="Times New Roman"/>
          <w:b/>
          <w:sz w:val="22"/>
          <w:szCs w:val="22"/>
        </w:rPr>
        <w:t>Contact person for the Contractor:</w:t>
      </w:r>
    </w:p>
    <w:p w14:paraId="5CF51E15" w14:textId="77777777" w:rsidR="00ED5E1D" w:rsidRPr="004B5E80" w:rsidRDefault="00ED5E1D" w:rsidP="00ED5E1D">
      <w:pPr>
        <w:keepNext/>
        <w:keepLines/>
        <w:spacing w:before="0" w:after="0"/>
        <w:ind w:left="981" w:firstLine="153"/>
        <w:rPr>
          <w:rFonts w:ascii="Times New Roman" w:hAnsi="Times New Roman"/>
          <w:b/>
          <w:sz w:val="22"/>
          <w:szCs w:val="22"/>
        </w:rPr>
      </w:pPr>
    </w:p>
    <w:bookmarkEnd w:id="7"/>
    <w:p w14:paraId="48102C71" w14:textId="77777777" w:rsidR="00ED5E1D" w:rsidRPr="004B5E80" w:rsidRDefault="00ED5E1D" w:rsidP="00ED5E1D">
      <w:pPr>
        <w:keepNext/>
        <w:keepLines/>
        <w:spacing w:before="0" w:after="0"/>
        <w:ind w:left="828" w:firstLine="306"/>
        <w:rPr>
          <w:rFonts w:ascii="Times New Roman" w:hAnsi="Times New Roman"/>
          <w:sz w:val="22"/>
          <w:szCs w:val="22"/>
        </w:rPr>
      </w:pPr>
      <w:r w:rsidRPr="004B5E80">
        <w:rPr>
          <w:rFonts w:ascii="Times New Roman" w:hAnsi="Times New Roman"/>
          <w:sz w:val="22"/>
          <w:szCs w:val="22"/>
        </w:rPr>
        <w:t>Name:</w:t>
      </w:r>
    </w:p>
    <w:p w14:paraId="2F85BC93" w14:textId="77777777" w:rsidR="00ED5E1D" w:rsidRPr="004B5E80" w:rsidRDefault="00ED5E1D" w:rsidP="00ED5E1D">
      <w:pPr>
        <w:keepNext/>
        <w:keepLines/>
        <w:spacing w:before="0" w:after="0"/>
        <w:ind w:left="414" w:firstLine="720"/>
        <w:rPr>
          <w:rFonts w:ascii="Times New Roman" w:hAnsi="Times New Roman"/>
          <w:sz w:val="22"/>
          <w:szCs w:val="22"/>
        </w:rPr>
      </w:pPr>
      <w:r w:rsidRPr="004B5E80">
        <w:rPr>
          <w:rFonts w:ascii="Times New Roman" w:hAnsi="Times New Roman"/>
          <w:sz w:val="22"/>
          <w:szCs w:val="22"/>
        </w:rPr>
        <w:t>Address:</w:t>
      </w:r>
    </w:p>
    <w:p w14:paraId="38A01EDB" w14:textId="77777777" w:rsidR="00ED5E1D" w:rsidRPr="004B5E80" w:rsidRDefault="00ED5E1D" w:rsidP="00ED5E1D">
      <w:pPr>
        <w:keepNext/>
        <w:keepLines/>
        <w:spacing w:before="0" w:after="0"/>
        <w:ind w:left="981" w:firstLine="153"/>
        <w:rPr>
          <w:rFonts w:ascii="Times New Roman" w:hAnsi="Times New Roman"/>
          <w:sz w:val="22"/>
          <w:szCs w:val="22"/>
        </w:rPr>
      </w:pPr>
      <w:r w:rsidRPr="004B5E80">
        <w:rPr>
          <w:rFonts w:ascii="Times New Roman" w:hAnsi="Times New Roman"/>
          <w:sz w:val="22"/>
          <w:szCs w:val="22"/>
        </w:rPr>
        <w:t>Phone:</w:t>
      </w:r>
    </w:p>
    <w:p w14:paraId="71CC8E06" w14:textId="77777777" w:rsidR="00ED5E1D" w:rsidRPr="004B5E80" w:rsidRDefault="00ED5E1D" w:rsidP="00ED5E1D">
      <w:pPr>
        <w:keepNext/>
        <w:keepLines/>
        <w:spacing w:before="0" w:after="0"/>
        <w:ind w:left="828" w:firstLine="306"/>
        <w:rPr>
          <w:rFonts w:ascii="Times New Roman" w:hAnsi="Times New Roman"/>
          <w:sz w:val="22"/>
          <w:szCs w:val="22"/>
        </w:rPr>
      </w:pPr>
      <w:r w:rsidRPr="004B5E80">
        <w:rPr>
          <w:rFonts w:ascii="Times New Roman" w:hAnsi="Times New Roman"/>
          <w:sz w:val="22"/>
          <w:szCs w:val="22"/>
        </w:rPr>
        <w:t xml:space="preserve">E-mail: </w:t>
      </w:r>
    </w:p>
    <w:p w14:paraId="1314341F" w14:textId="77777777" w:rsidR="0047783A" w:rsidRPr="003D6B6C" w:rsidRDefault="0047783A" w:rsidP="00B5440B">
      <w:pPr>
        <w:keepNext/>
        <w:spacing w:before="240"/>
        <w:ind w:left="1134" w:hanging="1134"/>
        <w:jc w:val="both"/>
        <w:rPr>
          <w:rFonts w:ascii="Times New Roman" w:hAnsi="Times New Roman"/>
          <w:b/>
          <w:sz w:val="24"/>
          <w:szCs w:val="24"/>
        </w:rPr>
      </w:pPr>
      <w:bookmarkStart w:id="8"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8"/>
    </w:p>
    <w:p w14:paraId="60E152E7" w14:textId="77777777" w:rsidR="00D5306D" w:rsidRPr="00D5306D" w:rsidRDefault="00D5306D" w:rsidP="00D5306D">
      <w:pPr>
        <w:spacing w:before="240"/>
        <w:ind w:left="1134" w:hanging="1134"/>
        <w:jc w:val="both"/>
        <w:rPr>
          <w:rFonts w:ascii="Times New Roman" w:hAnsi="Times New Roman"/>
          <w:sz w:val="22"/>
          <w:szCs w:val="22"/>
          <w:lang w:val="tr-TR"/>
        </w:rPr>
      </w:pPr>
      <w:bookmarkStart w:id="9" w:name="_Toc124934899"/>
      <w:proofErr w:type="spellStart"/>
      <w:r w:rsidRPr="00D5306D">
        <w:rPr>
          <w:rFonts w:ascii="Times New Roman" w:hAnsi="Times New Roman"/>
          <w:sz w:val="22"/>
          <w:szCs w:val="22"/>
          <w:lang w:val="tr-TR"/>
        </w:rPr>
        <w:t>The</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Contractor</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shall</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submit</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the</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following</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documentation</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before</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provisional</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acceptance</w:t>
      </w:r>
      <w:proofErr w:type="spellEnd"/>
      <w:r w:rsidRPr="00D5306D">
        <w:rPr>
          <w:rFonts w:ascii="Times New Roman" w:hAnsi="Times New Roman"/>
          <w:sz w:val="22"/>
          <w:szCs w:val="22"/>
          <w:lang w:val="tr-TR"/>
        </w:rPr>
        <w:t>:</w:t>
      </w:r>
    </w:p>
    <w:p w14:paraId="3F36492D" w14:textId="6046F649" w:rsidR="00D5306D" w:rsidRPr="00D5306D" w:rsidRDefault="00D5306D" w:rsidP="00D5306D">
      <w:pPr>
        <w:numPr>
          <w:ilvl w:val="0"/>
          <w:numId w:val="29"/>
        </w:numPr>
        <w:ind w:left="714" w:hanging="357"/>
        <w:jc w:val="both"/>
        <w:rPr>
          <w:rFonts w:ascii="Times New Roman" w:hAnsi="Times New Roman"/>
          <w:sz w:val="22"/>
          <w:szCs w:val="22"/>
          <w:lang w:val="tr-TR"/>
        </w:rPr>
      </w:pPr>
      <w:proofErr w:type="spellStart"/>
      <w:r w:rsidRPr="00D5306D">
        <w:rPr>
          <w:rFonts w:ascii="Times New Roman" w:hAnsi="Times New Roman"/>
          <w:sz w:val="22"/>
          <w:szCs w:val="22"/>
          <w:lang w:val="tr-TR"/>
        </w:rPr>
        <w:t>Operation</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and</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maintenance</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manuals</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Turkish</w:t>
      </w:r>
      <w:proofErr w:type="spellEnd"/>
      <w:r w:rsidRPr="00D5306D">
        <w:rPr>
          <w:rFonts w:ascii="Times New Roman" w:hAnsi="Times New Roman"/>
          <w:sz w:val="22"/>
          <w:szCs w:val="22"/>
          <w:lang w:val="tr-TR"/>
        </w:rPr>
        <w:t>)</w:t>
      </w:r>
    </w:p>
    <w:p w14:paraId="20A21459" w14:textId="6661C81B" w:rsidR="00D5306D" w:rsidRPr="00D5306D" w:rsidRDefault="00D5306D" w:rsidP="00D5306D">
      <w:pPr>
        <w:numPr>
          <w:ilvl w:val="0"/>
          <w:numId w:val="29"/>
        </w:numPr>
        <w:ind w:left="714" w:hanging="357"/>
        <w:jc w:val="both"/>
        <w:rPr>
          <w:rFonts w:ascii="Times New Roman" w:hAnsi="Times New Roman"/>
          <w:sz w:val="22"/>
          <w:szCs w:val="22"/>
          <w:lang w:val="tr-TR"/>
        </w:rPr>
      </w:pPr>
      <w:r w:rsidRPr="00D5306D">
        <w:rPr>
          <w:rFonts w:ascii="Times New Roman" w:hAnsi="Times New Roman"/>
          <w:sz w:val="22"/>
          <w:szCs w:val="22"/>
          <w:lang w:val="tr-TR"/>
        </w:rPr>
        <w:t>As-</w:t>
      </w:r>
      <w:proofErr w:type="spellStart"/>
      <w:r w:rsidRPr="00D5306D">
        <w:rPr>
          <w:rFonts w:ascii="Times New Roman" w:hAnsi="Times New Roman"/>
          <w:sz w:val="22"/>
          <w:szCs w:val="22"/>
          <w:lang w:val="tr-TR"/>
        </w:rPr>
        <w:t>built</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drawings</w:t>
      </w:r>
      <w:proofErr w:type="spellEnd"/>
      <w:r w:rsidRPr="00D5306D">
        <w:rPr>
          <w:rFonts w:ascii="Times New Roman" w:hAnsi="Times New Roman"/>
          <w:sz w:val="22"/>
          <w:szCs w:val="22"/>
          <w:lang w:val="tr-TR"/>
        </w:rPr>
        <w:t xml:space="preserve">, </w:t>
      </w:r>
      <w:proofErr w:type="spellStart"/>
      <w:r>
        <w:rPr>
          <w:rFonts w:ascii="Times New Roman" w:hAnsi="Times New Roman"/>
          <w:sz w:val="22"/>
          <w:szCs w:val="22"/>
          <w:lang w:val="tr-TR"/>
        </w:rPr>
        <w:t>system</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schematics</w:t>
      </w:r>
      <w:proofErr w:type="spellEnd"/>
    </w:p>
    <w:p w14:paraId="04F35B60" w14:textId="2D1F3B09" w:rsidR="00D5306D" w:rsidRPr="00D5306D" w:rsidRDefault="00D5306D" w:rsidP="00D5306D">
      <w:pPr>
        <w:numPr>
          <w:ilvl w:val="0"/>
          <w:numId w:val="29"/>
        </w:numPr>
        <w:ind w:left="714" w:hanging="357"/>
        <w:jc w:val="both"/>
        <w:rPr>
          <w:rFonts w:ascii="Times New Roman" w:hAnsi="Times New Roman"/>
          <w:sz w:val="22"/>
          <w:szCs w:val="22"/>
          <w:lang w:val="tr-TR"/>
        </w:rPr>
      </w:pPr>
      <w:r w:rsidRPr="00D5306D">
        <w:rPr>
          <w:rFonts w:ascii="Times New Roman" w:hAnsi="Times New Roman"/>
          <w:sz w:val="22"/>
          <w:szCs w:val="22"/>
          <w:lang w:val="tr-TR"/>
        </w:rPr>
        <w:t xml:space="preserve">Test </w:t>
      </w:r>
      <w:proofErr w:type="spellStart"/>
      <w:r w:rsidRPr="00D5306D">
        <w:rPr>
          <w:rFonts w:ascii="Times New Roman" w:hAnsi="Times New Roman"/>
          <w:sz w:val="22"/>
          <w:szCs w:val="22"/>
          <w:lang w:val="tr-TR"/>
        </w:rPr>
        <w:t>and</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calibration</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reports</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if</w:t>
      </w:r>
      <w:proofErr w:type="spellEnd"/>
      <w:r>
        <w:rPr>
          <w:rFonts w:ascii="Times New Roman" w:hAnsi="Times New Roman"/>
          <w:sz w:val="22"/>
          <w:szCs w:val="22"/>
          <w:lang w:val="tr-TR"/>
        </w:rPr>
        <w:t xml:space="preserve"> </w:t>
      </w:r>
      <w:proofErr w:type="spellStart"/>
      <w:r>
        <w:rPr>
          <w:rFonts w:ascii="Times New Roman" w:hAnsi="Times New Roman"/>
          <w:sz w:val="22"/>
          <w:szCs w:val="22"/>
          <w:lang w:val="tr-TR"/>
        </w:rPr>
        <w:t>available</w:t>
      </w:r>
      <w:proofErr w:type="spellEnd"/>
      <w:r>
        <w:rPr>
          <w:rFonts w:ascii="Times New Roman" w:hAnsi="Times New Roman"/>
          <w:sz w:val="22"/>
          <w:szCs w:val="22"/>
          <w:lang w:val="tr-TR"/>
        </w:rPr>
        <w:t xml:space="preserve"> </w:t>
      </w:r>
    </w:p>
    <w:p w14:paraId="07051878" w14:textId="77777777" w:rsidR="00D5306D" w:rsidRPr="00D5306D" w:rsidRDefault="00D5306D" w:rsidP="00D5306D">
      <w:pPr>
        <w:numPr>
          <w:ilvl w:val="0"/>
          <w:numId w:val="29"/>
        </w:numPr>
        <w:ind w:left="714" w:hanging="357"/>
        <w:jc w:val="both"/>
        <w:rPr>
          <w:rFonts w:ascii="Times New Roman" w:hAnsi="Times New Roman"/>
          <w:sz w:val="22"/>
          <w:szCs w:val="22"/>
          <w:lang w:val="tr-TR"/>
        </w:rPr>
      </w:pPr>
      <w:proofErr w:type="spellStart"/>
      <w:r w:rsidRPr="00D5306D">
        <w:rPr>
          <w:rFonts w:ascii="Times New Roman" w:hAnsi="Times New Roman"/>
          <w:sz w:val="22"/>
          <w:szCs w:val="22"/>
          <w:lang w:val="tr-TR"/>
        </w:rPr>
        <w:t>Warranty</w:t>
      </w:r>
      <w:proofErr w:type="spellEnd"/>
      <w:r w:rsidRPr="00D5306D">
        <w:rPr>
          <w:rFonts w:ascii="Times New Roman" w:hAnsi="Times New Roman"/>
          <w:sz w:val="22"/>
          <w:szCs w:val="22"/>
          <w:lang w:val="tr-TR"/>
        </w:rPr>
        <w:t xml:space="preserve"> </w:t>
      </w:r>
      <w:proofErr w:type="spellStart"/>
      <w:r w:rsidRPr="00D5306D">
        <w:rPr>
          <w:rFonts w:ascii="Times New Roman" w:hAnsi="Times New Roman"/>
          <w:sz w:val="22"/>
          <w:szCs w:val="22"/>
          <w:lang w:val="tr-TR"/>
        </w:rPr>
        <w:t>certificates</w:t>
      </w:r>
      <w:proofErr w:type="spellEnd"/>
    </w:p>
    <w:p w14:paraId="35062D7D" w14:textId="77777777"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9"/>
    </w:p>
    <w:p w14:paraId="4043F8C2" w14:textId="61723C53" w:rsidR="00515E6D" w:rsidRPr="00515E6D" w:rsidRDefault="00515E6D" w:rsidP="00515E6D">
      <w:pPr>
        <w:tabs>
          <w:tab w:val="left" w:pos="426"/>
        </w:tabs>
        <w:ind w:left="1134" w:right="-2" w:hanging="708"/>
        <w:jc w:val="both"/>
        <w:rPr>
          <w:rFonts w:ascii="Times New Roman" w:hAnsi="Times New Roman"/>
          <w:sz w:val="22"/>
          <w:szCs w:val="22"/>
        </w:rPr>
      </w:pPr>
      <w:r>
        <w:rPr>
          <w:rFonts w:ascii="Times New Roman" w:hAnsi="Times New Roman"/>
          <w:sz w:val="22"/>
          <w:szCs w:val="22"/>
        </w:rPr>
        <w:tab/>
      </w:r>
      <w:r w:rsidRPr="00515E6D">
        <w:rPr>
          <w:rFonts w:ascii="Times New Roman" w:hAnsi="Times New Roman"/>
          <w:sz w:val="22"/>
          <w:szCs w:val="22"/>
        </w:rPr>
        <w:t>The Contractor shall assist in completing customs clearance, transportation, and import procedures in line with DDP terms. Installation will be carried out within the existing foundry building; no construction or permit procedures are required.</w:t>
      </w:r>
    </w:p>
    <w:p w14:paraId="6797F7C0" w14:textId="77777777"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14:paraId="4C08721E" w14:textId="6F855821"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lastRenderedPageBreak/>
        <w:t>9.9</w:t>
      </w:r>
      <w:r w:rsidRPr="003D6B6C">
        <w:rPr>
          <w:rFonts w:ascii="Times New Roman" w:hAnsi="Times New Roman"/>
          <w:sz w:val="22"/>
          <w:szCs w:val="22"/>
        </w:rPr>
        <w:tab/>
      </w:r>
      <w:r w:rsidR="00ED5E1D" w:rsidRPr="006E20D9">
        <w:rPr>
          <w:rFonts w:ascii="Times New Roman" w:hAnsi="Times New Roman"/>
          <w:sz w:val="22"/>
          <w:szCs w:val="22"/>
        </w:rPr>
        <w:t xml:space="preserve">Contractor must comply with the rules lay down in the Communication and Visibility Manual for EU External Actions published on the website of DG International Cooperation and Development: </w:t>
      </w:r>
      <w:hyperlink r:id="rId9" w:history="1">
        <w:r w:rsidR="00ED5E1D" w:rsidRPr="00282D32">
          <w:rPr>
            <w:rStyle w:val="Kpr"/>
            <w:rFonts w:ascii="Times New Roman" w:hAnsi="Times New Roman"/>
            <w:sz w:val="22"/>
            <w:szCs w:val="22"/>
          </w:rPr>
          <w:t>https://ec.europa.eu/europeaid/funding/communication-and-visibility-manual-eu-external-actions_en</w:t>
        </w:r>
      </w:hyperlink>
      <w:r w:rsidR="00ED5E1D">
        <w:rPr>
          <w:rFonts w:ascii="Times New Roman" w:hAnsi="Times New Roman"/>
          <w:sz w:val="22"/>
          <w:szCs w:val="22"/>
        </w:rPr>
        <w:t xml:space="preserve"> </w:t>
      </w:r>
      <w:r w:rsidR="00ED5E1D" w:rsidRPr="006E20D9">
        <w:rPr>
          <w:rFonts w:ascii="Times New Roman" w:hAnsi="Times New Roman"/>
          <w:sz w:val="22"/>
          <w:szCs w:val="22"/>
        </w:rPr>
        <w:t xml:space="preserve">   </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10"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10"/>
    </w:p>
    <w:p w14:paraId="04B63533" w14:textId="617E0730" w:rsidR="008B230C" w:rsidRPr="00ED5E1D" w:rsidRDefault="0047783A" w:rsidP="00ED5E1D">
      <w:pPr>
        <w:pStyle w:val="Balk2"/>
        <w:keepNext w:val="0"/>
        <w:numPr>
          <w:ilvl w:val="1"/>
          <w:numId w:val="0"/>
        </w:numPr>
        <w:spacing w:before="0"/>
        <w:ind w:left="1134" w:hanging="708"/>
        <w:jc w:val="both"/>
        <w:rPr>
          <w:rFonts w:ascii="Times New Roman" w:hAnsi="Times New Roman"/>
          <w:sz w:val="22"/>
          <w:szCs w:val="22"/>
          <w:lang w:val="en-IE"/>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ED5E1D" w:rsidRPr="004979F3">
        <w:rPr>
          <w:rFonts w:ascii="Times New Roman" w:hAnsi="Times New Roman"/>
          <w:sz w:val="22"/>
          <w:szCs w:val="22"/>
          <w:lang w:val="en-IE"/>
        </w:rPr>
        <w:t>All goods purchased can originate in any country.</w:t>
      </w:r>
    </w:p>
    <w:p w14:paraId="08F8112F" w14:textId="29DF4F92" w:rsidR="0047783A" w:rsidRPr="00443A08" w:rsidRDefault="0047783A" w:rsidP="00B34179">
      <w:pPr>
        <w:spacing w:before="240"/>
        <w:ind w:left="1134" w:hanging="1134"/>
        <w:jc w:val="both"/>
        <w:rPr>
          <w:rFonts w:ascii="Times New Roman" w:hAnsi="Times New Roman"/>
          <w:b/>
          <w:sz w:val="24"/>
          <w:szCs w:val="24"/>
        </w:rPr>
      </w:pPr>
      <w:bookmarkStart w:id="11" w:name="_Toc124934901"/>
      <w:r w:rsidRPr="00443A08">
        <w:rPr>
          <w:rFonts w:ascii="Times New Roman" w:hAnsi="Times New Roman"/>
          <w:b/>
          <w:sz w:val="24"/>
          <w:szCs w:val="24"/>
        </w:rPr>
        <w:t>Article 11</w:t>
      </w:r>
      <w:r w:rsidRPr="00443A08">
        <w:rPr>
          <w:rFonts w:ascii="Times New Roman" w:hAnsi="Times New Roman"/>
          <w:b/>
          <w:sz w:val="24"/>
          <w:szCs w:val="24"/>
        </w:rPr>
        <w:tab/>
        <w:t>Performance guarantee</w:t>
      </w:r>
      <w:bookmarkEnd w:id="11"/>
    </w:p>
    <w:p w14:paraId="20BFEFF7" w14:textId="18DAD89B" w:rsidR="00D25711" w:rsidRPr="003D6B6C" w:rsidRDefault="00F355C1" w:rsidP="00ED5E1D">
      <w:pPr>
        <w:spacing w:before="0"/>
        <w:ind w:left="1134" w:hanging="709"/>
        <w:jc w:val="both"/>
        <w:rPr>
          <w:rFonts w:ascii="Times New Roman" w:hAnsi="Times New Roman"/>
          <w:sz w:val="22"/>
          <w:szCs w:val="22"/>
        </w:rPr>
      </w:pPr>
      <w:r w:rsidRPr="00443A08">
        <w:rPr>
          <w:rFonts w:ascii="Times New Roman" w:hAnsi="Times New Roman"/>
          <w:sz w:val="22"/>
          <w:szCs w:val="22"/>
        </w:rPr>
        <w:t>11.1</w:t>
      </w:r>
      <w:r w:rsidRPr="00443A08">
        <w:rPr>
          <w:rFonts w:ascii="Times New Roman" w:hAnsi="Times New Roman"/>
          <w:sz w:val="22"/>
          <w:szCs w:val="22"/>
        </w:rPr>
        <w:tab/>
      </w:r>
      <w:r w:rsidR="00ED5E1D" w:rsidRPr="00443A08">
        <w:rPr>
          <w:rFonts w:ascii="Times New Roman" w:hAnsi="Times New Roman"/>
          <w:sz w:val="22"/>
          <w:szCs w:val="22"/>
        </w:rPr>
        <w:t xml:space="preserve">The amount of the performance guarantee shall be </w:t>
      </w:r>
      <w:r w:rsidR="00ED5E1D" w:rsidRPr="00443A08">
        <w:rPr>
          <w:rFonts w:ascii="Times New Roman" w:hAnsi="Times New Roman"/>
          <w:b/>
          <w:bCs/>
          <w:sz w:val="22"/>
          <w:szCs w:val="22"/>
        </w:rPr>
        <w:t>6 %</w:t>
      </w:r>
      <w:r w:rsidR="00ED5E1D" w:rsidRPr="00443A08">
        <w:rPr>
          <w:rFonts w:ascii="Times New Roman" w:hAnsi="Times New Roman"/>
          <w:sz w:val="22"/>
          <w:szCs w:val="22"/>
        </w:rPr>
        <w:t xml:space="preserve"> of the total contract price, including any amounts stipulated in addenda to the contract</w:t>
      </w:r>
    </w:p>
    <w:p w14:paraId="7E65A926" w14:textId="3407746C" w:rsidR="0047783A" w:rsidRPr="003D6B6C" w:rsidRDefault="0047783A" w:rsidP="00B34179">
      <w:pPr>
        <w:spacing w:before="240"/>
        <w:ind w:left="1134" w:hanging="1134"/>
        <w:jc w:val="both"/>
        <w:rPr>
          <w:rFonts w:ascii="Times New Roman" w:hAnsi="Times New Roman"/>
          <w:b/>
          <w:sz w:val="24"/>
          <w:szCs w:val="24"/>
        </w:rPr>
      </w:pPr>
      <w:bookmarkStart w:id="12"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2"/>
    </w:p>
    <w:p w14:paraId="35C45554" w14:textId="77777777" w:rsidR="00ED5E1D" w:rsidRPr="00C94FB2" w:rsidRDefault="00ED5E1D" w:rsidP="00ED5E1D">
      <w:pPr>
        <w:tabs>
          <w:tab w:val="left" w:pos="1134"/>
        </w:tabs>
        <w:spacing w:before="0"/>
        <w:ind w:left="1134" w:hanging="708"/>
        <w:jc w:val="both"/>
        <w:rPr>
          <w:rFonts w:ascii="Times New Roman" w:hAnsi="Times New Roman"/>
          <w:sz w:val="22"/>
          <w:szCs w:val="22"/>
        </w:rPr>
      </w:pPr>
      <w:r w:rsidRPr="00C94FB2">
        <w:rPr>
          <w:rFonts w:ascii="Times New Roman" w:hAnsi="Times New Roman"/>
          <w:sz w:val="22"/>
          <w:szCs w:val="22"/>
        </w:rPr>
        <w:t xml:space="preserve">All insurance costs including </w:t>
      </w:r>
      <w:r>
        <w:rPr>
          <w:rFonts w:ascii="Times New Roman" w:hAnsi="Times New Roman"/>
          <w:sz w:val="22"/>
          <w:szCs w:val="22"/>
        </w:rPr>
        <w:t>delivery</w:t>
      </w:r>
      <w:r w:rsidRPr="00C94FB2">
        <w:rPr>
          <w:rFonts w:ascii="Times New Roman" w:hAnsi="Times New Roman"/>
          <w:sz w:val="22"/>
          <w:szCs w:val="22"/>
        </w:rPr>
        <w:t xml:space="preserve"> will be </w:t>
      </w:r>
      <w:r>
        <w:rPr>
          <w:rFonts w:ascii="Times New Roman" w:hAnsi="Times New Roman"/>
          <w:sz w:val="22"/>
          <w:szCs w:val="22"/>
        </w:rPr>
        <w:t>provided</w:t>
      </w:r>
      <w:r w:rsidRPr="00C94FB2">
        <w:rPr>
          <w:rFonts w:ascii="Times New Roman" w:hAnsi="Times New Roman"/>
          <w:sz w:val="22"/>
          <w:szCs w:val="22"/>
        </w:rPr>
        <w:t xml:space="preserve"> by the c</w:t>
      </w:r>
      <w:r>
        <w:rPr>
          <w:rFonts w:ascii="Times New Roman" w:hAnsi="Times New Roman"/>
          <w:sz w:val="22"/>
          <w:szCs w:val="22"/>
        </w:rPr>
        <w:t xml:space="preserve">ontractor until the provisional </w:t>
      </w:r>
      <w:r w:rsidRPr="00C94FB2">
        <w:rPr>
          <w:rFonts w:ascii="Times New Roman" w:hAnsi="Times New Roman"/>
          <w:sz w:val="22"/>
          <w:szCs w:val="22"/>
        </w:rPr>
        <w:t>acceptance without prejudice to article 29.7 of the General Conditions.</w:t>
      </w:r>
    </w:p>
    <w:p w14:paraId="480A516E" w14:textId="77777777" w:rsidR="00ED5E1D" w:rsidRPr="00726E03" w:rsidRDefault="00ED5E1D" w:rsidP="00ED5E1D">
      <w:pPr>
        <w:tabs>
          <w:tab w:val="left" w:pos="1134"/>
        </w:tabs>
        <w:spacing w:before="0"/>
        <w:ind w:left="1134" w:hanging="708"/>
        <w:jc w:val="both"/>
        <w:rPr>
          <w:rFonts w:ascii="Times New Roman" w:hAnsi="Times New Roman"/>
          <w:sz w:val="22"/>
          <w:szCs w:val="22"/>
        </w:rPr>
      </w:pPr>
      <w:r w:rsidRPr="003D6B6C">
        <w:rPr>
          <w:rFonts w:ascii="Times New Roman" w:hAnsi="Times New Roman"/>
          <w:sz w:val="22"/>
          <w:szCs w:val="22"/>
        </w:rPr>
        <w:t>12.1</w:t>
      </w:r>
      <w:r>
        <w:rPr>
          <w:rFonts w:ascii="Times New Roman" w:hAnsi="Times New Roman"/>
          <w:sz w:val="22"/>
          <w:szCs w:val="22"/>
        </w:rPr>
        <w:t>(</w:t>
      </w:r>
      <w:r w:rsidRPr="003D6B6C">
        <w:rPr>
          <w:rFonts w:ascii="Times New Roman" w:hAnsi="Times New Roman"/>
          <w:sz w:val="22"/>
          <w:szCs w:val="22"/>
        </w:rPr>
        <w:t>a</w:t>
      </w:r>
      <w:r w:rsidRPr="00726E03">
        <w:rPr>
          <w:rFonts w:ascii="Times New Roman" w:hAnsi="Times New Roman"/>
          <w:sz w:val="22"/>
          <w:szCs w:val="22"/>
        </w:rPr>
        <w:t>) ‘By way of derogation from Article 12.1(a), paragraph 2, of the general conditions, compensation for damage to the supplies resulting from the contractor's liability in respect of the contracting authority is capped at an amount equal to contract value.</w:t>
      </w:r>
    </w:p>
    <w:p w14:paraId="4EE2C19A" w14:textId="77777777" w:rsidR="00ED5E1D" w:rsidRPr="00726E03" w:rsidRDefault="00ED5E1D" w:rsidP="00ED5E1D">
      <w:pPr>
        <w:tabs>
          <w:tab w:val="left" w:pos="1134"/>
        </w:tabs>
        <w:spacing w:before="0"/>
        <w:ind w:left="1134" w:hanging="708"/>
        <w:jc w:val="both"/>
        <w:rPr>
          <w:rFonts w:ascii="Times New Roman" w:hAnsi="Times New Roman"/>
          <w:sz w:val="22"/>
          <w:szCs w:val="22"/>
        </w:rPr>
      </w:pPr>
      <w:r w:rsidRPr="00726E03">
        <w:rPr>
          <w:rFonts w:ascii="Times New Roman" w:hAnsi="Times New Roman"/>
          <w:sz w:val="22"/>
          <w:szCs w:val="22"/>
        </w:rPr>
        <w:t>12.1(b)</w:t>
      </w:r>
      <w:r w:rsidRPr="00726E03">
        <w:rPr>
          <w:rFonts w:ascii="Times New Roman" w:hAnsi="Times New Roman"/>
          <w:sz w:val="22"/>
          <w:szCs w:val="22"/>
        </w:rPr>
        <w:tab/>
      </w:r>
    </w:p>
    <w:p w14:paraId="6C2A0636" w14:textId="77777777" w:rsidR="00ED5E1D" w:rsidRPr="003D6B6C" w:rsidRDefault="00ED5E1D" w:rsidP="00ED5E1D">
      <w:pPr>
        <w:tabs>
          <w:tab w:val="left" w:pos="1134"/>
        </w:tabs>
        <w:spacing w:before="0" w:after="240"/>
        <w:ind w:left="1134"/>
        <w:jc w:val="both"/>
        <w:rPr>
          <w:rFonts w:ascii="Times New Roman" w:hAnsi="Times New Roman"/>
          <w:sz w:val="22"/>
          <w:szCs w:val="22"/>
        </w:rPr>
      </w:pPr>
      <w:r w:rsidRPr="00726E03">
        <w:rPr>
          <w:rFonts w:ascii="Times New Roman" w:hAnsi="Times New Roman"/>
          <w:sz w:val="22"/>
          <w:szCs w:val="22"/>
        </w:rPr>
        <w:t>‘By way of derogation from Article 12.1(b), paragraph 2, of the general conditions, compensation for damage resulting from the contractor's liability in respect of the contracting authority is capped at an amount equal to contract value.</w:t>
      </w:r>
    </w:p>
    <w:p w14:paraId="233D3A95" w14:textId="77777777" w:rsidR="00ED5E1D" w:rsidRPr="003D6B6C" w:rsidRDefault="00ED5E1D" w:rsidP="00ED5E1D">
      <w:pPr>
        <w:tabs>
          <w:tab w:val="left" w:pos="1843"/>
        </w:tabs>
        <w:spacing w:before="0"/>
        <w:ind w:left="1843" w:hanging="1843"/>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a), paragraph 1</w:t>
      </w:r>
      <w:r>
        <w:rPr>
          <w:rFonts w:ascii="Times New Roman" w:hAnsi="Times New Roman"/>
          <w:sz w:val="22"/>
          <w:szCs w:val="22"/>
        </w:rPr>
        <w:tab/>
      </w:r>
      <w:r w:rsidRPr="009E486D">
        <w:rPr>
          <w:rFonts w:ascii="Times New Roman" w:hAnsi="Times New Roman"/>
          <w:sz w:val="22"/>
          <w:szCs w:val="22"/>
        </w:rPr>
        <w:t xml:space="preserve">By derogation from Article 12.2(a), paragraph 1, of the general conditions, with signing of the contract the contractor shall </w:t>
      </w:r>
      <w:r w:rsidRPr="009E486D">
        <w:rPr>
          <w:rFonts w:ascii="Times New Roman" w:hAnsi="Times New Roman"/>
          <w:color w:val="222222"/>
          <w:sz w:val="22"/>
          <w:szCs w:val="22"/>
          <w:lang w:val="en"/>
        </w:rPr>
        <w:t xml:space="preserve">ensure that </w:t>
      </w:r>
      <w:r w:rsidRPr="009E486D">
        <w:rPr>
          <w:rFonts w:ascii="Times New Roman" w:hAnsi="Times New Roman"/>
          <w:sz w:val="22"/>
          <w:szCs w:val="22"/>
        </w:rPr>
        <w:t>itself, its personnel, its subcontractors and any person for which the contractor is answerable</w:t>
      </w:r>
      <w:r w:rsidRPr="009E486D">
        <w:rPr>
          <w:rFonts w:ascii="Times New Roman" w:hAnsi="Times New Roman"/>
          <w:color w:val="222222"/>
          <w:sz w:val="22"/>
          <w:szCs w:val="22"/>
          <w:lang w:val="en"/>
        </w:rPr>
        <w:t>, are adequately insured with insurance companies recognized on the international insurance market, unless the contracting authority has given its express written consent on a specific insurance company</w:t>
      </w:r>
      <w:r w:rsidRPr="009E486D">
        <w:rPr>
          <w:rFonts w:ascii="Times New Roman" w:hAnsi="Times New Roman"/>
          <w:sz w:val="22"/>
          <w:szCs w:val="22"/>
        </w:rPr>
        <w:t>.</w:t>
      </w:r>
    </w:p>
    <w:p w14:paraId="7EFD2E6E" w14:textId="77777777" w:rsidR="00ED5E1D" w:rsidRPr="003F2DED" w:rsidRDefault="00ED5E1D" w:rsidP="00ED5E1D">
      <w:pPr>
        <w:tabs>
          <w:tab w:val="left" w:pos="1843"/>
        </w:tabs>
        <w:spacing w:before="0"/>
        <w:ind w:left="1843" w:hanging="1843"/>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 xml:space="preserve">a), paragraph </w:t>
      </w:r>
      <w:r>
        <w:rPr>
          <w:rFonts w:ascii="Times New Roman" w:hAnsi="Times New Roman"/>
          <w:sz w:val="22"/>
          <w:szCs w:val="22"/>
        </w:rPr>
        <w:t xml:space="preserve">2 </w:t>
      </w:r>
      <w:r w:rsidRPr="003F2DED">
        <w:rPr>
          <w:rFonts w:ascii="Times New Roman" w:hAnsi="Times New Roman"/>
          <w:sz w:val="22"/>
          <w:szCs w:val="22"/>
        </w:rPr>
        <w:t xml:space="preserve">By derogation from Article 12.2(a), paragraph 2, of the general conditions it is stated with signing of the contract the contractor shall provide </w:t>
      </w:r>
      <w:r w:rsidRPr="003F2DED">
        <w:rPr>
          <w:rFonts w:ascii="Times New Roman" w:hAnsi="Times New Roman"/>
          <w:color w:val="222222"/>
          <w:sz w:val="22"/>
          <w:szCs w:val="22"/>
          <w:lang w:val="en"/>
        </w:rPr>
        <w:t xml:space="preserve">the contracting authority </w:t>
      </w:r>
      <w:r w:rsidRPr="003F2DED">
        <w:rPr>
          <w:rFonts w:ascii="Times New Roman" w:hAnsi="Times New Roman"/>
          <w:sz w:val="22"/>
          <w:szCs w:val="22"/>
        </w:rPr>
        <w:t>with all cover notes and/or insurance certificates showing that the contractor's obligations relating to insurance are fully respected.</w:t>
      </w:r>
    </w:p>
    <w:p w14:paraId="51EB3D07" w14:textId="77777777" w:rsidR="00ED5E1D" w:rsidRPr="003F2DED" w:rsidRDefault="00ED5E1D" w:rsidP="00ED5E1D">
      <w:pPr>
        <w:spacing w:before="0"/>
        <w:ind w:left="1843" w:hanging="1843"/>
        <w:jc w:val="both"/>
        <w:rPr>
          <w:rFonts w:ascii="Times New Roman" w:hAnsi="Times New Roman"/>
          <w:sz w:val="22"/>
          <w:szCs w:val="22"/>
        </w:rPr>
      </w:pPr>
      <w:r w:rsidRPr="003F2DED">
        <w:rPr>
          <w:rFonts w:ascii="Times New Roman" w:hAnsi="Times New Roman"/>
          <w:sz w:val="22"/>
          <w:szCs w:val="22"/>
        </w:rPr>
        <w:t>12.2(b), paragraph 2</w:t>
      </w:r>
      <w:r w:rsidRPr="003F2DED">
        <w:rPr>
          <w:rFonts w:ascii="Times New Roman" w:hAnsi="Times New Roman"/>
          <w:sz w:val="22"/>
          <w:szCs w:val="22"/>
        </w:rPr>
        <w:tab/>
      </w:r>
      <w:r w:rsidRPr="003F2DED">
        <w:rPr>
          <w:rFonts w:ascii="Times New Roman" w:hAnsi="Times New Roman"/>
          <w:b/>
          <w:i/>
          <w:iCs/>
          <w:sz w:val="22"/>
          <w:szCs w:val="22"/>
        </w:rPr>
        <w:t>DDP - Delivered Duty Paid</w:t>
      </w:r>
      <w:r w:rsidRPr="003F2DED">
        <w:rPr>
          <w:rFonts w:ascii="Times New Roman" w:hAnsi="Times New Roman"/>
          <w:i/>
          <w:iCs/>
          <w:sz w:val="22"/>
          <w:szCs w:val="22"/>
        </w:rPr>
        <w:t xml:space="preserve">: </w:t>
      </w:r>
      <w:r w:rsidRPr="003F2DED">
        <w:rPr>
          <w:rFonts w:ascii="Times New Roman" w:hAnsi="Times New Roman"/>
          <w:color w:val="222222"/>
          <w:sz w:val="22"/>
          <w:szCs w:val="22"/>
          <w:lang w:val="en"/>
        </w:rPr>
        <w:t>Incoterm which imposes on the seller maximum obligations vis-à-vis transportation and loss risks and damage associated with the goods:</w:t>
      </w:r>
    </w:p>
    <w:p w14:paraId="19827DAE" w14:textId="10F14602" w:rsidR="00ED5E1D" w:rsidRPr="00ED5E1D" w:rsidRDefault="00ED5E1D" w:rsidP="00ED5E1D">
      <w:pPr>
        <w:pStyle w:val="Default"/>
        <w:spacing w:after="120"/>
        <w:ind w:left="2268"/>
        <w:jc w:val="both"/>
        <w:rPr>
          <w:color w:val="222222"/>
          <w:sz w:val="22"/>
          <w:szCs w:val="22"/>
          <w:lang w:val="en"/>
        </w:rPr>
      </w:pPr>
      <w:r w:rsidRPr="003F2DED">
        <w:rPr>
          <w:i/>
          <w:iCs/>
          <w:sz w:val="22"/>
          <w:szCs w:val="22"/>
        </w:rPr>
        <w:t>‘</w:t>
      </w:r>
      <w:proofErr w:type="gramStart"/>
      <w:r w:rsidRPr="003F2DED">
        <w:rPr>
          <w:i/>
          <w:iCs/>
          <w:sz w:val="22"/>
          <w:szCs w:val="22"/>
        </w:rPr>
        <w:t>the</w:t>
      </w:r>
      <w:proofErr w:type="gramEnd"/>
      <w:r w:rsidRPr="003F2DED">
        <w:rPr>
          <w:i/>
          <w:iCs/>
          <w:sz w:val="22"/>
          <w:szCs w:val="22"/>
        </w:rPr>
        <w:t xml:space="preserve"> seller delivers the goods when the goods are placed at the disposal of the buyer, cleared for import on the arriving means of transport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w:t>
      </w:r>
      <w:r w:rsidRPr="003F2DED">
        <w:rPr>
          <w:i/>
          <w:iCs/>
          <w:sz w:val="22"/>
          <w:szCs w:val="22"/>
        </w:rPr>
        <w:lastRenderedPageBreak/>
        <w:t>formalities.’</w:t>
      </w:r>
      <w:r w:rsidRPr="003F2DED">
        <w:rPr>
          <w:rStyle w:val="DipnotBavurusu"/>
          <w:i/>
          <w:iCs/>
          <w:sz w:val="22"/>
          <w:szCs w:val="22"/>
        </w:rPr>
        <w:footnoteReference w:id="2"/>
      </w:r>
      <w:r w:rsidRPr="003F2DED">
        <w:rPr>
          <w:i/>
          <w:iCs/>
          <w:sz w:val="22"/>
          <w:szCs w:val="22"/>
        </w:rPr>
        <w:t xml:space="preserve"> </w:t>
      </w:r>
      <w:r w:rsidRPr="003F2DED">
        <w:rPr>
          <w:color w:val="222222"/>
          <w:sz w:val="22"/>
          <w:szCs w:val="22"/>
          <w:lang w:val="en"/>
        </w:rPr>
        <w:t>The transfer of risks and costs occurs at the place of unloading of the goods at the agreed place of destination.</w:t>
      </w:r>
    </w:p>
    <w:p w14:paraId="674BFA44" w14:textId="5CC0C3EE" w:rsidR="0047783A" w:rsidRPr="003D6B6C" w:rsidRDefault="0047783A" w:rsidP="00B34179">
      <w:pPr>
        <w:spacing w:before="240"/>
        <w:ind w:left="1134" w:hanging="1134"/>
        <w:jc w:val="both"/>
        <w:rPr>
          <w:rFonts w:ascii="Times New Roman" w:hAnsi="Times New Roman"/>
          <w:b/>
          <w:sz w:val="24"/>
          <w:szCs w:val="24"/>
        </w:rPr>
      </w:pPr>
      <w:bookmarkStart w:id="13"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3"/>
      <w:r w:rsidR="0086688D" w:rsidRPr="003D6B6C">
        <w:rPr>
          <w:rFonts w:ascii="Times New Roman" w:hAnsi="Times New Roman"/>
          <w:b/>
          <w:sz w:val="24"/>
          <w:szCs w:val="24"/>
        </w:rPr>
        <w:t xml:space="preserve">Programme of implementation of </w:t>
      </w:r>
      <w:r w:rsidR="00E14620">
        <w:rPr>
          <w:rFonts w:ascii="Times New Roman" w:hAnsi="Times New Roman"/>
          <w:b/>
          <w:sz w:val="24"/>
          <w:szCs w:val="24"/>
        </w:rPr>
        <w:t xml:space="preserve">the </w:t>
      </w:r>
      <w:r w:rsidR="0086688D" w:rsidRPr="003D6B6C">
        <w:rPr>
          <w:rFonts w:ascii="Times New Roman" w:hAnsi="Times New Roman"/>
          <w:b/>
          <w:sz w:val="24"/>
          <w:szCs w:val="24"/>
        </w:rPr>
        <w:t>tasks</w:t>
      </w:r>
    </w:p>
    <w:p w14:paraId="68CCF8F0" w14:textId="247C9700" w:rsidR="0047783A" w:rsidRDefault="00AC1107" w:rsidP="005D03AA">
      <w:pPr>
        <w:ind w:left="1134" w:hanging="709"/>
        <w:jc w:val="both"/>
        <w:rPr>
          <w:rFonts w:ascii="Times New Roman" w:hAnsi="Times New Roman"/>
          <w:sz w:val="22"/>
          <w:szCs w:val="22"/>
        </w:rPr>
      </w:pPr>
      <w:r w:rsidRPr="003D6B6C">
        <w:rPr>
          <w:rFonts w:ascii="Times New Roman" w:hAnsi="Times New Roman"/>
          <w:sz w:val="22"/>
          <w:szCs w:val="22"/>
        </w:rPr>
        <w:t>13.2</w:t>
      </w:r>
      <w:r w:rsidRPr="003D6B6C">
        <w:rPr>
          <w:rFonts w:ascii="Times New Roman" w:hAnsi="Times New Roman"/>
          <w:sz w:val="22"/>
          <w:szCs w:val="22"/>
        </w:rPr>
        <w:tab/>
      </w:r>
      <w:r w:rsidR="00ED5E1D" w:rsidRPr="00E8337D">
        <w:rPr>
          <w:rFonts w:ascii="Times New Roman" w:hAnsi="Times New Roman"/>
          <w:sz w:val="22"/>
          <w:szCs w:val="22"/>
        </w:rPr>
        <w:t>The supplies must be delivered and put into operation, inspected and tested and ready for acceptance at the address of the installation specified in Article 1.1 of the contract free of all taxes and duties applicable to their importation and manufacture/sales.</w:t>
      </w:r>
    </w:p>
    <w:p w14:paraId="6CF855B8" w14:textId="0F58A063" w:rsidR="00DB4A9B" w:rsidRPr="00DB4A9B" w:rsidRDefault="00DB4A9B" w:rsidP="00DB4A9B">
      <w:pPr>
        <w:ind w:left="1134"/>
        <w:jc w:val="both"/>
        <w:rPr>
          <w:rFonts w:ascii="Times New Roman" w:hAnsi="Times New Roman"/>
          <w:bCs/>
          <w:sz w:val="22"/>
          <w:szCs w:val="22"/>
        </w:rPr>
      </w:pPr>
      <w:r w:rsidRPr="00DB4A9B">
        <w:rPr>
          <w:rFonts w:ascii="Times New Roman" w:hAnsi="Times New Roman"/>
          <w:bCs/>
          <w:sz w:val="22"/>
          <w:szCs w:val="22"/>
        </w:rPr>
        <w:t xml:space="preserve">The delivery, installation, and commissioning of the supplies shall be completed within </w:t>
      </w:r>
      <w:r w:rsidR="00607E5D">
        <w:rPr>
          <w:rFonts w:ascii="Times New Roman" w:hAnsi="Times New Roman"/>
          <w:bCs/>
          <w:sz w:val="22"/>
          <w:szCs w:val="22"/>
        </w:rPr>
        <w:t>twelve</w:t>
      </w:r>
      <w:r w:rsidRPr="00DB4A9B">
        <w:rPr>
          <w:rFonts w:ascii="Times New Roman" w:hAnsi="Times New Roman"/>
          <w:bCs/>
          <w:sz w:val="22"/>
          <w:szCs w:val="22"/>
        </w:rPr>
        <w:t xml:space="preserve"> (</w:t>
      </w:r>
      <w:r w:rsidR="00607E5D">
        <w:rPr>
          <w:rFonts w:ascii="Times New Roman" w:hAnsi="Times New Roman"/>
          <w:bCs/>
          <w:sz w:val="22"/>
          <w:szCs w:val="22"/>
        </w:rPr>
        <w:t>12</w:t>
      </w:r>
      <w:r w:rsidRPr="00DB4A9B">
        <w:rPr>
          <w:rFonts w:ascii="Times New Roman" w:hAnsi="Times New Roman"/>
          <w:bCs/>
          <w:sz w:val="22"/>
          <w:szCs w:val="22"/>
        </w:rPr>
        <w:t xml:space="preserve">) months from contract signature. The entire contract, including testing, documentation, and provisional acceptance, shall be finalized within </w:t>
      </w:r>
      <w:r w:rsidR="00607E5D">
        <w:rPr>
          <w:rFonts w:ascii="Times New Roman" w:hAnsi="Times New Roman"/>
          <w:bCs/>
          <w:sz w:val="22"/>
          <w:szCs w:val="22"/>
        </w:rPr>
        <w:t>twelve</w:t>
      </w:r>
      <w:r w:rsidRPr="00DB4A9B">
        <w:rPr>
          <w:rFonts w:ascii="Times New Roman" w:hAnsi="Times New Roman"/>
          <w:bCs/>
          <w:sz w:val="22"/>
          <w:szCs w:val="22"/>
        </w:rPr>
        <w:t xml:space="preserve"> (</w:t>
      </w:r>
      <w:r w:rsidR="00607E5D">
        <w:rPr>
          <w:rFonts w:ascii="Times New Roman" w:hAnsi="Times New Roman"/>
          <w:bCs/>
          <w:sz w:val="22"/>
          <w:szCs w:val="22"/>
        </w:rPr>
        <w:t>12</w:t>
      </w:r>
      <w:r w:rsidRPr="00DB4A9B">
        <w:rPr>
          <w:rFonts w:ascii="Times New Roman" w:hAnsi="Times New Roman"/>
          <w:bCs/>
          <w:sz w:val="22"/>
          <w:szCs w:val="22"/>
        </w:rPr>
        <w:t>) months.</w:t>
      </w:r>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14"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4"/>
    </w:p>
    <w:p w14:paraId="62741992" w14:textId="6DA1EB8E"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ED5E1D" w:rsidRPr="00B40686">
        <w:rPr>
          <w:rFonts w:ascii="Times New Roman" w:hAnsi="Times New Roman"/>
          <w:sz w:val="22"/>
          <w:szCs w:val="22"/>
          <w:lang w:val="en-US"/>
        </w:rPr>
        <w:t>Each set of equipment must be provided with an original set of users’ operation and maintenance manuals for all parts of the equipment.</w:t>
      </w:r>
    </w:p>
    <w:p w14:paraId="1B05DF2B" w14:textId="0014A6D7" w:rsidR="0047783A" w:rsidRDefault="0047783A" w:rsidP="00B34179">
      <w:pPr>
        <w:spacing w:before="240"/>
        <w:ind w:left="1134" w:hanging="1134"/>
        <w:jc w:val="both"/>
        <w:rPr>
          <w:rFonts w:ascii="Times New Roman" w:hAnsi="Times New Roman"/>
          <w:b/>
          <w:sz w:val="24"/>
          <w:szCs w:val="24"/>
        </w:rPr>
      </w:pPr>
      <w:bookmarkStart w:id="15"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5"/>
    </w:p>
    <w:p w14:paraId="53D3FA29" w14:textId="60627405" w:rsidR="009F323B" w:rsidRPr="001F2655" w:rsidRDefault="001F2655" w:rsidP="00B5440B">
      <w:pPr>
        <w:jc w:val="both"/>
        <w:rPr>
          <w:rFonts w:ascii="Times New Roman" w:hAnsi="Times New Roman"/>
          <w:b/>
          <w:bCs/>
          <w:sz w:val="24"/>
          <w:szCs w:val="24"/>
        </w:rPr>
      </w:pPr>
      <w:r w:rsidRPr="009F323B">
        <w:rPr>
          <w:rFonts w:ascii="Times New Roman" w:hAnsi="Times New Roman"/>
          <w:sz w:val="22"/>
        </w:rPr>
        <w:t xml:space="preserve">The price of the supplies shall be that shown on the financial offer (specimen in Annex IV). </w:t>
      </w:r>
      <w:r w:rsidRPr="00895BDE">
        <w:rPr>
          <w:rFonts w:ascii="Times New Roman" w:hAnsi="Times New Roman"/>
          <w:b/>
          <w:bCs/>
          <w:sz w:val="22"/>
        </w:rPr>
        <w:t xml:space="preserve">The financial offer should show the price with included VAT and without VAT. </w:t>
      </w:r>
    </w:p>
    <w:p w14:paraId="5CF16560" w14:textId="77777777" w:rsidR="001F2655" w:rsidRPr="003D6B6C" w:rsidRDefault="001F2655" w:rsidP="001F2655">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Pr="00311B1F">
        <w:rPr>
          <w:rFonts w:ascii="Times New Roman" w:hAnsi="Times New Roman"/>
          <w:sz w:val="22"/>
          <w:szCs w:val="22"/>
        </w:rPr>
        <w:t>Without prejudice to Article 15 of the General conditions, the goods to be supplied, as itemized and the overall prices, calculated on the basis of DDP include the full cost of delivery of the goods to the place of destination, packing, insurance, transportation, the full cost of clearance formalities, storage, unpacking, putting into operation, testing and inspection including all cost of consumables to make them ready for acceptance, dismantle or removal of temporary structures and materials no longer required for use in connection with the performance of the contract, any copy rights, or patent rights or license, warranty and training and training materials, if any, and manuals, fees, allowances, all kind of social charges, etc. of the staff and/or expert hired and assigned to service to be provided under this contract and any expenditure that such staff and/or expert will incur for execution of their activities during the operation</w:t>
      </w:r>
      <w:r>
        <w:rPr>
          <w:rFonts w:ascii="Times New Roman" w:hAnsi="Times New Roman"/>
          <w:sz w:val="22"/>
          <w:szCs w:val="22"/>
        </w:rPr>
        <w:t>.</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14:paraId="125A63E5" w14:textId="77777777" w:rsidR="001F2655" w:rsidRDefault="00C52305" w:rsidP="001F265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1F2655">
        <w:rPr>
          <w:rFonts w:ascii="Times New Roman" w:hAnsi="Times New Roman"/>
          <w:sz w:val="22"/>
          <w:szCs w:val="22"/>
        </w:rPr>
        <w:t>All taxes are arranged according to the rules of the DDP and signed financial agreement between the European Commission and Republic of Türkiye for the relevant programming period of 2021-2027.</w:t>
      </w:r>
    </w:p>
    <w:p w14:paraId="6AF4FC5B" w14:textId="1A633038" w:rsidR="00C52305" w:rsidRPr="003D6B6C" w:rsidRDefault="001F2655" w:rsidP="00FE7472">
      <w:pPr>
        <w:ind w:left="1134"/>
        <w:jc w:val="both"/>
        <w:rPr>
          <w:rFonts w:ascii="Times New Roman" w:hAnsi="Times New Roman"/>
          <w:sz w:val="22"/>
          <w:szCs w:val="22"/>
        </w:rPr>
      </w:pPr>
      <w:r w:rsidRPr="00565A1B">
        <w:rPr>
          <w:rFonts w:ascii="Times New Roman" w:hAnsi="Times New Roman"/>
          <w:sz w:val="22"/>
          <w:szCs w:val="22"/>
        </w:rPr>
        <w:t xml:space="preserve">Contractor shall accordingly complete the necessary formalities with the relevant authorities to ensure that the goods required for performance of the Contract are </w:t>
      </w:r>
      <w:r>
        <w:rPr>
          <w:rFonts w:ascii="Times New Roman" w:hAnsi="Times New Roman"/>
          <w:sz w:val="22"/>
          <w:szCs w:val="22"/>
        </w:rPr>
        <w:t>with paid</w:t>
      </w:r>
      <w:r w:rsidRPr="00565A1B">
        <w:rPr>
          <w:rFonts w:ascii="Times New Roman" w:hAnsi="Times New Roman"/>
          <w:sz w:val="22"/>
          <w:szCs w:val="22"/>
        </w:rPr>
        <w:t xml:space="preserve"> taxes and duties, including VAT and Special Consumption Tax</w:t>
      </w:r>
      <w:r>
        <w:rPr>
          <w:rFonts w:ascii="Times New Roman" w:hAnsi="Times New Roman"/>
          <w:sz w:val="22"/>
          <w:szCs w:val="22"/>
        </w:rPr>
        <w:t xml:space="preserve"> if the goods/supplies are subject to</w:t>
      </w:r>
      <w:r w:rsidRPr="00565A1B">
        <w:rPr>
          <w:rFonts w:ascii="Times New Roman" w:hAnsi="Times New Roman"/>
          <w:sz w:val="22"/>
          <w:szCs w:val="22"/>
        </w:rPr>
        <w:t>.</w:t>
      </w:r>
      <w:r>
        <w:rPr>
          <w:rFonts w:ascii="Times New Roman" w:hAnsi="Times New Roman"/>
          <w:sz w:val="22"/>
          <w:szCs w:val="22"/>
        </w:rPr>
        <w:t xml:space="preserve"> </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06"/>
      <w:r w:rsidRPr="003D6B6C">
        <w:rPr>
          <w:rFonts w:ascii="Times New Roman" w:hAnsi="Times New Roman"/>
          <w:b/>
          <w:sz w:val="24"/>
          <w:szCs w:val="24"/>
        </w:rPr>
        <w:lastRenderedPageBreak/>
        <w:t>Article 17</w:t>
      </w:r>
      <w:r w:rsidRPr="003D6B6C">
        <w:rPr>
          <w:rFonts w:ascii="Times New Roman" w:hAnsi="Times New Roman"/>
          <w:b/>
          <w:sz w:val="24"/>
          <w:szCs w:val="24"/>
        </w:rPr>
        <w:tab/>
        <w:t>Patents and licences</w:t>
      </w:r>
      <w:bookmarkEnd w:id="16"/>
    </w:p>
    <w:p w14:paraId="43D1F54B" w14:textId="69CEE5FE"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1F2655" w:rsidRPr="00A025D2">
        <w:rPr>
          <w:rFonts w:ascii="Times New Roman" w:hAnsi="Times New Roman"/>
          <w:sz w:val="22"/>
          <w:szCs w:val="22"/>
        </w:rPr>
        <w:t xml:space="preserve">In addition to the general provision of this article in the General Conditions, the Contractor indemnify the Contracting Authority and the Project Manager against any claim resulting from the use, as specified in the contract of patents, licenses, drawings, models or brand or trademarks. </w:t>
      </w:r>
      <w:r w:rsidR="001F2655">
        <w:rPr>
          <w:rFonts w:ascii="Times New Roman" w:hAnsi="Times New Roman"/>
          <w:sz w:val="22"/>
          <w:szCs w:val="22"/>
        </w:rPr>
        <w:t>If in case t</w:t>
      </w:r>
      <w:r w:rsidR="001F2655" w:rsidRPr="00A025D2">
        <w:rPr>
          <w:rFonts w:ascii="Times New Roman" w:hAnsi="Times New Roman"/>
          <w:sz w:val="22"/>
          <w:szCs w:val="22"/>
        </w:rPr>
        <w:t xml:space="preserve">enderers are informed that all </w:t>
      </w:r>
      <w:r w:rsidR="001F2655">
        <w:rPr>
          <w:rFonts w:ascii="Times New Roman" w:hAnsi="Times New Roman"/>
          <w:sz w:val="22"/>
          <w:szCs w:val="22"/>
        </w:rPr>
        <w:t>specifications</w:t>
      </w:r>
      <w:r w:rsidR="001F2655" w:rsidRPr="00A025D2">
        <w:rPr>
          <w:rFonts w:ascii="Times New Roman" w:hAnsi="Times New Roman"/>
          <w:sz w:val="22"/>
          <w:szCs w:val="22"/>
        </w:rPr>
        <w:t xml:space="preserve"> included pre-installed, must be accompanied by the License Agreement Number and original manuals. The relevant costs must be included in the prices including pre-installed</w:t>
      </w:r>
      <w:r w:rsidR="001F2655">
        <w:rPr>
          <w:rFonts w:ascii="Times New Roman" w:hAnsi="Times New Roman"/>
          <w:sz w:val="22"/>
          <w:szCs w:val="22"/>
        </w:rPr>
        <w:t>.</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17"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7"/>
      <w:r w:rsidR="00EB32E9" w:rsidRPr="003D6B6C">
        <w:rPr>
          <w:rFonts w:ascii="Times New Roman" w:hAnsi="Times New Roman"/>
          <w:b/>
          <w:sz w:val="24"/>
          <w:szCs w:val="24"/>
        </w:rPr>
        <w:t xml:space="preserve"> </w:t>
      </w:r>
    </w:p>
    <w:p w14:paraId="14D4E012" w14:textId="70F76656" w:rsidR="0047783A" w:rsidRPr="003D6B6C" w:rsidRDefault="0047783A" w:rsidP="005D03AA">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1F2655" w:rsidRPr="004F2175">
        <w:rPr>
          <w:rFonts w:ascii="Times New Roman" w:hAnsi="Times New Roman"/>
          <w:sz w:val="22"/>
          <w:szCs w:val="22"/>
        </w:rPr>
        <w:t>The contracting authority shall inform the contractor by delivery order of the date on which delivery of the goods/implementation of the tasks shall begin.</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8"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8"/>
      <w:r w:rsidRPr="003D6B6C">
        <w:rPr>
          <w:rFonts w:ascii="Times New Roman" w:hAnsi="Times New Roman"/>
          <w:b/>
          <w:sz w:val="24"/>
          <w:szCs w:val="24"/>
        </w:rPr>
        <w:t xml:space="preserve"> of the tasks</w:t>
      </w:r>
    </w:p>
    <w:p w14:paraId="05A032BE" w14:textId="4F71C219" w:rsidR="00E55D87" w:rsidRPr="001F2655" w:rsidRDefault="0047783A" w:rsidP="001F2655">
      <w:pPr>
        <w:spacing w:before="0"/>
        <w:ind w:left="1134" w:hanging="709"/>
        <w:jc w:val="both"/>
        <w:rPr>
          <w:rFonts w:ascii="Times New Roman" w:hAnsi="Times New Roman"/>
          <w:sz w:val="22"/>
        </w:rPr>
      </w:pPr>
      <w:r w:rsidRPr="00FE7472">
        <w:rPr>
          <w:rFonts w:ascii="Times New Roman" w:hAnsi="Times New Roman"/>
          <w:sz w:val="22"/>
          <w:szCs w:val="22"/>
        </w:rPr>
        <w:t>19.1</w:t>
      </w:r>
      <w:r w:rsidR="001F2655" w:rsidRPr="00FE7472">
        <w:rPr>
          <w:rFonts w:ascii="Times New Roman" w:hAnsi="Times New Roman"/>
          <w:sz w:val="22"/>
          <w:szCs w:val="22"/>
        </w:rPr>
        <w:t xml:space="preserve">. </w:t>
      </w:r>
      <w:r w:rsidR="001F2655" w:rsidRPr="00FE7472">
        <w:rPr>
          <w:rFonts w:ascii="Times New Roman" w:hAnsi="Times New Roman"/>
          <w:sz w:val="22"/>
        </w:rPr>
        <w:t xml:space="preserve">The </w:t>
      </w:r>
      <w:r w:rsidR="001F2655" w:rsidRPr="00FE7472">
        <w:rPr>
          <w:rFonts w:ascii="Times New Roman" w:hAnsi="Times New Roman"/>
          <w:b/>
          <w:sz w:val="22"/>
        </w:rPr>
        <w:t xml:space="preserve">implementation period of tasks shall </w:t>
      </w:r>
      <w:r w:rsidR="001F2655" w:rsidRPr="00E708FC">
        <w:rPr>
          <w:rFonts w:ascii="Times New Roman" w:hAnsi="Times New Roman"/>
          <w:b/>
          <w:sz w:val="22"/>
        </w:rPr>
        <w:t xml:space="preserve">be </w:t>
      </w:r>
      <w:r w:rsidR="00E708FC" w:rsidRPr="00E708FC">
        <w:rPr>
          <w:rFonts w:ascii="Times New Roman" w:hAnsi="Times New Roman"/>
          <w:b/>
          <w:sz w:val="22"/>
        </w:rPr>
        <w:t>12 /twelve/</w:t>
      </w:r>
      <w:r w:rsidR="001F2655" w:rsidRPr="00E708FC">
        <w:rPr>
          <w:rFonts w:ascii="Times New Roman" w:hAnsi="Times New Roman"/>
          <w:b/>
          <w:sz w:val="22"/>
        </w:rPr>
        <w:t xml:space="preserve"> months.</w:t>
      </w:r>
    </w:p>
    <w:p w14:paraId="0FBA9C31" w14:textId="4DB25D5F" w:rsidR="0047783A" w:rsidRPr="003D6B6C" w:rsidRDefault="0047783A" w:rsidP="00B34179">
      <w:pPr>
        <w:spacing w:before="240"/>
        <w:ind w:left="1134" w:hanging="1134"/>
        <w:jc w:val="both"/>
        <w:rPr>
          <w:rFonts w:ascii="Times New Roman" w:hAnsi="Times New Roman"/>
          <w:b/>
          <w:sz w:val="24"/>
          <w:szCs w:val="24"/>
        </w:rPr>
      </w:pPr>
      <w:bookmarkStart w:id="19"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9"/>
    </w:p>
    <w:p w14:paraId="0506BF5F" w14:textId="6C83ED44" w:rsidR="0047783A"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1F2655" w:rsidRPr="00F82860">
        <w:rPr>
          <w:rFonts w:ascii="Times New Roman" w:hAnsi="Times New Roman"/>
          <w:sz w:val="22"/>
          <w:szCs w:val="22"/>
        </w:rPr>
        <w:t>In addition to the provision of this Article in the General Conditions, the supplies purchased under this contract shall conform to the standards mentioned in the Technical Specifications.</w:t>
      </w:r>
    </w:p>
    <w:p w14:paraId="1F0250E5" w14:textId="77777777" w:rsidR="0077355A" w:rsidRPr="00335D9C" w:rsidRDefault="0077355A" w:rsidP="0077355A">
      <w:pPr>
        <w:pStyle w:val="Blockquote"/>
        <w:snapToGrid w:val="0"/>
        <w:spacing w:before="0" w:after="0" w:line="240" w:lineRule="atLeast"/>
        <w:ind w:left="0" w:right="357"/>
        <w:jc w:val="both"/>
        <w:rPr>
          <w:rFonts w:ascii="Times New Roman" w:hAnsi="Times New Roman"/>
          <w:sz w:val="22"/>
          <w:szCs w:val="22"/>
          <w:lang w:val="en-GB"/>
        </w:rPr>
      </w:pPr>
      <w:r w:rsidRPr="00335D9C">
        <w:rPr>
          <w:rFonts w:ascii="Times New Roman" w:hAnsi="Times New Roman"/>
          <w:sz w:val="22"/>
          <w:szCs w:val="22"/>
          <w:lang w:val="en-GB"/>
        </w:rPr>
        <w:t xml:space="preserve">The tenderer shall hold valid regulatory and quality certificates appropriate to the manufacturing and/or trading and/or servicing of industrial induction melting furnaces, or equivalent equipment: </w:t>
      </w:r>
    </w:p>
    <w:p w14:paraId="36E62574" w14:textId="77777777" w:rsidR="0077355A" w:rsidRPr="00025A30" w:rsidRDefault="0077355A" w:rsidP="0077355A">
      <w:pPr>
        <w:pStyle w:val="ListeParagraf"/>
        <w:numPr>
          <w:ilvl w:val="0"/>
          <w:numId w:val="30"/>
        </w:numPr>
        <w:ind w:hanging="357"/>
        <w:contextualSpacing/>
        <w:rPr>
          <w:rFonts w:ascii="Times New Roman" w:eastAsia="Times New Roman" w:hAnsi="Times New Roman"/>
          <w:sz w:val="24"/>
          <w:szCs w:val="24"/>
          <w:lang w:val="tr-TR" w:eastAsia="tr-TR"/>
        </w:rPr>
      </w:pPr>
      <w:r w:rsidRPr="00025A30">
        <w:rPr>
          <w:rFonts w:ascii="Times New Roman" w:eastAsia="Times New Roman" w:hAnsi="Times New Roman"/>
          <w:sz w:val="24"/>
          <w:szCs w:val="24"/>
          <w:lang w:val="tr-TR" w:eastAsia="tr-TR"/>
        </w:rPr>
        <w:t xml:space="preserve">A </w:t>
      </w:r>
      <w:proofErr w:type="spellStart"/>
      <w:r w:rsidRPr="00025A30">
        <w:rPr>
          <w:rFonts w:ascii="Times New Roman" w:eastAsia="Times New Roman" w:hAnsi="Times New Roman"/>
          <w:sz w:val="24"/>
          <w:szCs w:val="24"/>
          <w:lang w:val="tr-TR" w:eastAsia="tr-TR"/>
        </w:rPr>
        <w:t>valid</w:t>
      </w:r>
      <w:proofErr w:type="spellEnd"/>
      <w:r w:rsidRPr="00025A30">
        <w:rPr>
          <w:rFonts w:ascii="Times New Roman" w:eastAsia="Times New Roman" w:hAnsi="Times New Roman"/>
          <w:sz w:val="24"/>
          <w:szCs w:val="24"/>
          <w:lang w:val="tr-TR" w:eastAsia="tr-TR"/>
        </w:rPr>
        <w:t xml:space="preserve"> EU </w:t>
      </w:r>
      <w:proofErr w:type="spellStart"/>
      <w:r w:rsidRPr="00025A30">
        <w:rPr>
          <w:rFonts w:ascii="Times New Roman" w:eastAsia="Times New Roman" w:hAnsi="Times New Roman"/>
          <w:sz w:val="24"/>
          <w:szCs w:val="24"/>
          <w:lang w:val="tr-TR" w:eastAsia="tr-TR"/>
        </w:rPr>
        <w:t>Declaration</w:t>
      </w:r>
      <w:proofErr w:type="spellEnd"/>
      <w:r w:rsidRPr="00025A30">
        <w:rPr>
          <w:rFonts w:ascii="Times New Roman" w:eastAsia="Times New Roman" w:hAnsi="Times New Roman"/>
          <w:sz w:val="24"/>
          <w:szCs w:val="24"/>
          <w:lang w:val="tr-TR" w:eastAsia="tr-TR"/>
        </w:rPr>
        <w:t xml:space="preserve"> of </w:t>
      </w:r>
      <w:proofErr w:type="spellStart"/>
      <w:r w:rsidRPr="00025A30">
        <w:rPr>
          <w:rFonts w:ascii="Times New Roman" w:eastAsia="Times New Roman" w:hAnsi="Times New Roman"/>
          <w:sz w:val="24"/>
          <w:szCs w:val="24"/>
          <w:lang w:val="tr-TR" w:eastAsia="tr-TR"/>
        </w:rPr>
        <w:t>Conformity</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and</w:t>
      </w:r>
      <w:proofErr w:type="spellEnd"/>
      <w:r w:rsidRPr="00025A30">
        <w:rPr>
          <w:rFonts w:ascii="Times New Roman" w:eastAsia="Times New Roman" w:hAnsi="Times New Roman"/>
          <w:sz w:val="24"/>
          <w:szCs w:val="24"/>
          <w:lang w:val="tr-TR" w:eastAsia="tr-TR"/>
        </w:rPr>
        <w:t xml:space="preserve"> </w:t>
      </w:r>
      <w:r w:rsidRPr="00025A30">
        <w:rPr>
          <w:rFonts w:ascii="Times New Roman" w:eastAsia="Times New Roman" w:hAnsi="Times New Roman"/>
          <w:b/>
          <w:bCs/>
          <w:sz w:val="24"/>
          <w:szCs w:val="24"/>
          <w:lang w:val="tr-TR" w:eastAsia="tr-TR"/>
        </w:rPr>
        <w:t xml:space="preserve">CE </w:t>
      </w:r>
      <w:proofErr w:type="spellStart"/>
      <w:r w:rsidRPr="00025A30">
        <w:rPr>
          <w:rFonts w:ascii="Times New Roman" w:eastAsia="Times New Roman" w:hAnsi="Times New Roman"/>
          <w:b/>
          <w:bCs/>
          <w:sz w:val="24"/>
          <w:szCs w:val="24"/>
          <w:lang w:val="tr-TR" w:eastAsia="tr-TR"/>
        </w:rPr>
        <w:t>marking</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for</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the</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offered</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equipment</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proving</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compliance</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with</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Machinery</w:t>
      </w:r>
      <w:proofErr w:type="spellEnd"/>
      <w:r w:rsidRPr="00025A30">
        <w:rPr>
          <w:rFonts w:ascii="Times New Roman" w:eastAsia="Times New Roman" w:hAnsi="Times New Roman"/>
          <w:sz w:val="24"/>
          <w:szCs w:val="24"/>
          <w:lang w:val="tr-TR" w:eastAsia="tr-TR"/>
        </w:rPr>
        <w:t xml:space="preserve"> Directive 2006/42/EC, </w:t>
      </w:r>
      <w:proofErr w:type="spellStart"/>
      <w:r w:rsidRPr="00025A30">
        <w:rPr>
          <w:rFonts w:ascii="Times New Roman" w:eastAsia="Times New Roman" w:hAnsi="Times New Roman"/>
          <w:sz w:val="24"/>
          <w:szCs w:val="24"/>
          <w:lang w:val="tr-TR" w:eastAsia="tr-TR"/>
        </w:rPr>
        <w:t>Low</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Voltage</w:t>
      </w:r>
      <w:proofErr w:type="spellEnd"/>
      <w:r w:rsidRPr="00025A30">
        <w:rPr>
          <w:rFonts w:ascii="Times New Roman" w:eastAsia="Times New Roman" w:hAnsi="Times New Roman"/>
          <w:sz w:val="24"/>
          <w:szCs w:val="24"/>
          <w:lang w:val="tr-TR" w:eastAsia="tr-TR"/>
        </w:rPr>
        <w:t xml:space="preserve"> Directive 2014/35/EU, </w:t>
      </w:r>
      <w:proofErr w:type="spellStart"/>
      <w:r w:rsidRPr="00025A30">
        <w:rPr>
          <w:rFonts w:ascii="Times New Roman" w:eastAsia="Times New Roman" w:hAnsi="Times New Roman"/>
          <w:sz w:val="24"/>
          <w:szCs w:val="24"/>
          <w:lang w:val="tr-TR" w:eastAsia="tr-TR"/>
        </w:rPr>
        <w:t>and</w:t>
      </w:r>
      <w:proofErr w:type="spellEnd"/>
      <w:r w:rsidRPr="00025A30">
        <w:rPr>
          <w:rFonts w:ascii="Times New Roman" w:eastAsia="Times New Roman" w:hAnsi="Times New Roman"/>
          <w:sz w:val="24"/>
          <w:szCs w:val="24"/>
          <w:lang w:val="tr-TR" w:eastAsia="tr-TR"/>
        </w:rPr>
        <w:t xml:space="preserve"> EMC Directive 2014/30/EU, </w:t>
      </w:r>
      <w:proofErr w:type="spellStart"/>
      <w:r w:rsidRPr="00025A30">
        <w:rPr>
          <w:rFonts w:ascii="Times New Roman" w:eastAsia="Times New Roman" w:hAnsi="Times New Roman"/>
          <w:sz w:val="24"/>
          <w:szCs w:val="24"/>
          <w:lang w:val="tr-TR" w:eastAsia="tr-TR"/>
        </w:rPr>
        <w:t>or</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equivalent</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national</w:t>
      </w:r>
      <w:proofErr w:type="spellEnd"/>
      <w:r w:rsidRPr="00025A30">
        <w:rPr>
          <w:rFonts w:ascii="Times New Roman" w:eastAsia="Times New Roman" w:hAnsi="Times New Roman"/>
          <w:sz w:val="24"/>
          <w:szCs w:val="24"/>
          <w:lang w:val="tr-TR" w:eastAsia="tr-TR"/>
        </w:rPr>
        <w:t xml:space="preserve"> </w:t>
      </w:r>
      <w:proofErr w:type="spellStart"/>
      <w:r w:rsidRPr="00025A30">
        <w:rPr>
          <w:rFonts w:ascii="Times New Roman" w:eastAsia="Times New Roman" w:hAnsi="Times New Roman"/>
          <w:sz w:val="24"/>
          <w:szCs w:val="24"/>
          <w:lang w:val="tr-TR" w:eastAsia="tr-TR"/>
        </w:rPr>
        <w:t>transpositions</w:t>
      </w:r>
      <w:proofErr w:type="spellEnd"/>
      <w:r w:rsidRPr="00025A30">
        <w:rPr>
          <w:rFonts w:ascii="Times New Roman" w:eastAsia="Times New Roman" w:hAnsi="Times New Roman"/>
          <w:sz w:val="24"/>
          <w:szCs w:val="24"/>
          <w:lang w:val="tr-TR" w:eastAsia="tr-TR"/>
        </w:rPr>
        <w:t>;</w:t>
      </w:r>
    </w:p>
    <w:p w14:paraId="363798D3" w14:textId="77777777" w:rsidR="0077355A" w:rsidRPr="00025A30" w:rsidRDefault="0077355A" w:rsidP="0077355A">
      <w:pPr>
        <w:numPr>
          <w:ilvl w:val="0"/>
          <w:numId w:val="30"/>
        </w:numPr>
        <w:spacing w:before="100" w:beforeAutospacing="1" w:after="100" w:afterAutospacing="1"/>
        <w:rPr>
          <w:rFonts w:ascii="Times New Roman" w:hAnsi="Times New Roman"/>
          <w:snapToGrid/>
          <w:sz w:val="24"/>
          <w:szCs w:val="24"/>
          <w:lang w:val="tr-TR" w:eastAsia="tr-TR"/>
        </w:rPr>
      </w:pPr>
      <w:r w:rsidRPr="00025A30">
        <w:rPr>
          <w:rFonts w:ascii="Times New Roman" w:hAnsi="Times New Roman"/>
          <w:snapToGrid/>
          <w:sz w:val="24"/>
          <w:szCs w:val="24"/>
          <w:lang w:val="tr-TR" w:eastAsia="tr-TR"/>
        </w:rPr>
        <w:t>(</w:t>
      </w:r>
      <w:proofErr w:type="spellStart"/>
      <w:r w:rsidRPr="00025A30">
        <w:rPr>
          <w:rFonts w:ascii="Times New Roman" w:hAnsi="Times New Roman"/>
          <w:snapToGrid/>
          <w:sz w:val="24"/>
          <w:szCs w:val="24"/>
          <w:lang w:val="tr-TR" w:eastAsia="tr-TR"/>
        </w:rPr>
        <w:t>Optional</w:t>
      </w:r>
      <w:proofErr w:type="spellEnd"/>
      <w:r w:rsidRPr="00025A30">
        <w:rPr>
          <w:rFonts w:ascii="Times New Roman" w:hAnsi="Times New Roman"/>
          <w:snapToGrid/>
          <w:sz w:val="24"/>
          <w:szCs w:val="24"/>
          <w:lang w:val="tr-TR" w:eastAsia="tr-TR"/>
        </w:rPr>
        <w:t xml:space="preserve">) A </w:t>
      </w:r>
      <w:proofErr w:type="spellStart"/>
      <w:r w:rsidRPr="00025A30">
        <w:rPr>
          <w:rFonts w:ascii="Times New Roman" w:hAnsi="Times New Roman"/>
          <w:snapToGrid/>
          <w:sz w:val="24"/>
          <w:szCs w:val="24"/>
          <w:lang w:val="tr-TR" w:eastAsia="tr-TR"/>
        </w:rPr>
        <w:t>valid</w:t>
      </w:r>
      <w:proofErr w:type="spellEnd"/>
      <w:r w:rsidRPr="00025A30">
        <w:rPr>
          <w:rFonts w:ascii="Times New Roman" w:hAnsi="Times New Roman"/>
          <w:snapToGrid/>
          <w:sz w:val="24"/>
          <w:szCs w:val="24"/>
          <w:lang w:val="tr-TR" w:eastAsia="tr-TR"/>
        </w:rPr>
        <w:t xml:space="preserve"> ISO 9001 </w:t>
      </w:r>
      <w:proofErr w:type="spellStart"/>
      <w:r w:rsidRPr="00025A30">
        <w:rPr>
          <w:rFonts w:ascii="Times New Roman" w:hAnsi="Times New Roman"/>
          <w:snapToGrid/>
          <w:sz w:val="24"/>
          <w:szCs w:val="24"/>
          <w:lang w:val="tr-TR" w:eastAsia="tr-TR"/>
        </w:rPr>
        <w:t>Quality</w:t>
      </w:r>
      <w:proofErr w:type="spellEnd"/>
      <w:r w:rsidRPr="00025A30">
        <w:rPr>
          <w:rFonts w:ascii="Times New Roman" w:hAnsi="Times New Roman"/>
          <w:snapToGrid/>
          <w:sz w:val="24"/>
          <w:szCs w:val="24"/>
          <w:lang w:val="tr-TR" w:eastAsia="tr-TR"/>
        </w:rPr>
        <w:t xml:space="preserve"> Management </w:t>
      </w:r>
      <w:proofErr w:type="spellStart"/>
      <w:r w:rsidRPr="00025A30">
        <w:rPr>
          <w:rFonts w:ascii="Times New Roman" w:hAnsi="Times New Roman"/>
          <w:snapToGrid/>
          <w:sz w:val="24"/>
          <w:szCs w:val="24"/>
          <w:lang w:val="tr-TR" w:eastAsia="tr-TR"/>
        </w:rPr>
        <w:t>System</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certificate</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for</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the</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manufacturer</w:t>
      </w:r>
      <w:proofErr w:type="spellEnd"/>
      <w:r w:rsidRPr="00025A30">
        <w:rPr>
          <w:rFonts w:ascii="Times New Roman" w:hAnsi="Times New Roman"/>
          <w:snapToGrid/>
          <w:sz w:val="24"/>
          <w:szCs w:val="24"/>
          <w:lang w:val="tr-TR" w:eastAsia="tr-TR"/>
        </w:rPr>
        <w:t>;</w:t>
      </w:r>
    </w:p>
    <w:p w14:paraId="0DEEADA6" w14:textId="77777777" w:rsidR="0077355A" w:rsidRPr="00025A30" w:rsidRDefault="0077355A" w:rsidP="0077355A">
      <w:pPr>
        <w:numPr>
          <w:ilvl w:val="0"/>
          <w:numId w:val="30"/>
        </w:numPr>
        <w:spacing w:before="100" w:beforeAutospacing="1" w:after="100" w:afterAutospacing="1"/>
        <w:rPr>
          <w:rFonts w:ascii="Times New Roman" w:hAnsi="Times New Roman"/>
          <w:snapToGrid/>
          <w:sz w:val="24"/>
          <w:szCs w:val="24"/>
          <w:lang w:val="tr-TR" w:eastAsia="tr-TR"/>
        </w:rPr>
      </w:pPr>
      <w:r w:rsidRPr="00025A30">
        <w:rPr>
          <w:rFonts w:ascii="Times New Roman" w:hAnsi="Times New Roman"/>
          <w:snapToGrid/>
          <w:sz w:val="24"/>
          <w:szCs w:val="24"/>
          <w:lang w:val="tr-TR" w:eastAsia="tr-TR"/>
        </w:rPr>
        <w:t>(</w:t>
      </w:r>
      <w:proofErr w:type="spellStart"/>
      <w:r w:rsidRPr="00025A30">
        <w:rPr>
          <w:rFonts w:ascii="Times New Roman" w:hAnsi="Times New Roman"/>
          <w:snapToGrid/>
          <w:sz w:val="24"/>
          <w:szCs w:val="24"/>
          <w:lang w:val="tr-TR" w:eastAsia="tr-TR"/>
        </w:rPr>
        <w:t>Optional</w:t>
      </w:r>
      <w:proofErr w:type="spellEnd"/>
      <w:r w:rsidRPr="00025A30">
        <w:rPr>
          <w:rFonts w:ascii="Times New Roman" w:hAnsi="Times New Roman"/>
          <w:snapToGrid/>
          <w:sz w:val="24"/>
          <w:szCs w:val="24"/>
          <w:lang w:val="tr-TR" w:eastAsia="tr-TR"/>
        </w:rPr>
        <w:t>) ISO 14001 (</w:t>
      </w:r>
      <w:proofErr w:type="spellStart"/>
      <w:r w:rsidRPr="00025A30">
        <w:rPr>
          <w:rFonts w:ascii="Times New Roman" w:hAnsi="Times New Roman"/>
          <w:snapToGrid/>
          <w:sz w:val="24"/>
          <w:szCs w:val="24"/>
          <w:lang w:val="tr-TR" w:eastAsia="tr-TR"/>
        </w:rPr>
        <w:t>Environmental</w:t>
      </w:r>
      <w:proofErr w:type="spellEnd"/>
      <w:r w:rsidRPr="00025A30">
        <w:rPr>
          <w:rFonts w:ascii="Times New Roman" w:hAnsi="Times New Roman"/>
          <w:snapToGrid/>
          <w:sz w:val="24"/>
          <w:szCs w:val="24"/>
          <w:lang w:val="tr-TR" w:eastAsia="tr-TR"/>
        </w:rPr>
        <w:t xml:space="preserve"> Management) </w:t>
      </w:r>
      <w:proofErr w:type="spellStart"/>
      <w:r w:rsidRPr="00025A30">
        <w:rPr>
          <w:rFonts w:ascii="Times New Roman" w:hAnsi="Times New Roman"/>
          <w:snapToGrid/>
          <w:sz w:val="24"/>
          <w:szCs w:val="24"/>
          <w:lang w:val="tr-TR" w:eastAsia="tr-TR"/>
        </w:rPr>
        <w:t>and</w:t>
      </w:r>
      <w:proofErr w:type="spellEnd"/>
      <w:r w:rsidRPr="00025A30">
        <w:rPr>
          <w:rFonts w:ascii="Times New Roman" w:hAnsi="Times New Roman"/>
          <w:snapToGrid/>
          <w:sz w:val="24"/>
          <w:szCs w:val="24"/>
          <w:lang w:val="tr-TR" w:eastAsia="tr-TR"/>
        </w:rPr>
        <w:t>/</w:t>
      </w:r>
      <w:proofErr w:type="spellStart"/>
      <w:r w:rsidRPr="00025A30">
        <w:rPr>
          <w:rFonts w:ascii="Times New Roman" w:hAnsi="Times New Roman"/>
          <w:snapToGrid/>
          <w:sz w:val="24"/>
          <w:szCs w:val="24"/>
          <w:lang w:val="tr-TR" w:eastAsia="tr-TR"/>
        </w:rPr>
        <w:t>or</w:t>
      </w:r>
      <w:proofErr w:type="spellEnd"/>
      <w:r w:rsidRPr="00025A30">
        <w:rPr>
          <w:rFonts w:ascii="Times New Roman" w:hAnsi="Times New Roman"/>
          <w:snapToGrid/>
          <w:sz w:val="24"/>
          <w:szCs w:val="24"/>
          <w:lang w:val="tr-TR" w:eastAsia="tr-TR"/>
        </w:rPr>
        <w:t xml:space="preserve"> ISO 45001 (</w:t>
      </w:r>
      <w:proofErr w:type="spellStart"/>
      <w:r w:rsidRPr="00025A30">
        <w:rPr>
          <w:rFonts w:ascii="Times New Roman" w:hAnsi="Times New Roman"/>
          <w:snapToGrid/>
          <w:sz w:val="24"/>
          <w:szCs w:val="24"/>
          <w:lang w:val="tr-TR" w:eastAsia="tr-TR"/>
        </w:rPr>
        <w:t>Occupational</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Health</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and</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Safety</w:t>
      </w:r>
      <w:proofErr w:type="spellEnd"/>
      <w:r w:rsidRPr="00025A30">
        <w:rPr>
          <w:rFonts w:ascii="Times New Roman" w:hAnsi="Times New Roman"/>
          <w:snapToGrid/>
          <w:sz w:val="24"/>
          <w:szCs w:val="24"/>
          <w:lang w:val="tr-TR" w:eastAsia="tr-TR"/>
        </w:rPr>
        <w:t xml:space="preserve">) </w:t>
      </w:r>
      <w:proofErr w:type="spellStart"/>
      <w:r w:rsidRPr="00025A30">
        <w:rPr>
          <w:rFonts w:ascii="Times New Roman" w:hAnsi="Times New Roman"/>
          <w:snapToGrid/>
          <w:sz w:val="24"/>
          <w:szCs w:val="24"/>
          <w:lang w:val="tr-TR" w:eastAsia="tr-TR"/>
        </w:rPr>
        <w:t>certificates</w:t>
      </w:r>
      <w:proofErr w:type="spellEnd"/>
      <w:r w:rsidRPr="00025A30">
        <w:rPr>
          <w:rFonts w:ascii="Times New Roman" w:hAnsi="Times New Roman"/>
          <w:snapToGrid/>
          <w:sz w:val="24"/>
          <w:szCs w:val="24"/>
          <w:lang w:val="tr-TR" w:eastAsia="tr-TR"/>
        </w:rPr>
        <w:t>;</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20"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20"/>
    </w:p>
    <w:p w14:paraId="6EFBB3E7" w14:textId="6446DA61" w:rsidR="001F2655" w:rsidRPr="00F82860" w:rsidRDefault="005B0129" w:rsidP="001F2655">
      <w:pPr>
        <w:ind w:left="1134" w:hanging="709"/>
        <w:jc w:val="both"/>
        <w:rPr>
          <w:rFonts w:ascii="Times New Roman" w:hAnsi="Times New Roman"/>
          <w:bCs/>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1F2655" w:rsidRPr="00F82860">
        <w:rPr>
          <w:rFonts w:ascii="Times New Roman" w:hAnsi="Times New Roman"/>
          <w:bCs/>
          <w:sz w:val="22"/>
          <w:szCs w:val="22"/>
          <w:lang w:val="sv-SE"/>
        </w:rPr>
        <w:t>The inspection and testing prior to the provisional acceptance will take place at the locations where the supplies are delivered</w:t>
      </w:r>
      <w:r w:rsidR="001F2655">
        <w:rPr>
          <w:rFonts w:ascii="Times New Roman" w:hAnsi="Times New Roman"/>
          <w:bCs/>
          <w:sz w:val="22"/>
          <w:szCs w:val="22"/>
          <w:lang w:val="sv-SE"/>
        </w:rPr>
        <w:t xml:space="preserve"> </w:t>
      </w:r>
      <w:r w:rsidR="001F2655" w:rsidRPr="00F82860">
        <w:rPr>
          <w:rFonts w:ascii="Times New Roman" w:hAnsi="Times New Roman"/>
          <w:bCs/>
          <w:sz w:val="22"/>
          <w:szCs w:val="22"/>
          <w:lang w:val="sv-SE"/>
        </w:rPr>
        <w:t xml:space="preserve">and put into operation. </w:t>
      </w:r>
      <w:r w:rsidR="001F2655" w:rsidRPr="00F82860">
        <w:rPr>
          <w:rFonts w:ascii="Times New Roman" w:hAnsi="Times New Roman"/>
          <w:bCs/>
          <w:sz w:val="22"/>
          <w:szCs w:val="22"/>
        </w:rPr>
        <w:t xml:space="preserve">The inspection and testing of </w:t>
      </w:r>
      <w:r w:rsidR="001F2655">
        <w:rPr>
          <w:rFonts w:ascii="Times New Roman" w:hAnsi="Times New Roman"/>
          <w:bCs/>
          <w:sz w:val="22"/>
          <w:szCs w:val="22"/>
        </w:rPr>
        <w:t xml:space="preserve">the supplies </w:t>
      </w:r>
      <w:r w:rsidR="001F2655" w:rsidRPr="00F82860">
        <w:rPr>
          <w:rFonts w:ascii="Times New Roman" w:hAnsi="Times New Roman"/>
          <w:bCs/>
          <w:sz w:val="22"/>
          <w:szCs w:val="22"/>
        </w:rPr>
        <w:t xml:space="preserve">will be started and completed within a maximum of </w:t>
      </w:r>
      <w:r w:rsidR="001F2655">
        <w:rPr>
          <w:rFonts w:ascii="Times New Roman" w:hAnsi="Times New Roman"/>
          <w:bCs/>
          <w:sz w:val="22"/>
          <w:szCs w:val="22"/>
        </w:rPr>
        <w:t>10</w:t>
      </w:r>
      <w:r w:rsidR="001F2655" w:rsidRPr="00F82860">
        <w:rPr>
          <w:rFonts w:ascii="Times New Roman" w:hAnsi="Times New Roman"/>
          <w:bCs/>
          <w:sz w:val="22"/>
          <w:szCs w:val="22"/>
        </w:rPr>
        <w:t xml:space="preserve"> (</w:t>
      </w:r>
      <w:r w:rsidR="001F2655">
        <w:rPr>
          <w:rFonts w:ascii="Times New Roman" w:hAnsi="Times New Roman"/>
          <w:bCs/>
          <w:sz w:val="22"/>
          <w:szCs w:val="22"/>
        </w:rPr>
        <w:t>ten</w:t>
      </w:r>
      <w:r w:rsidR="001F2655" w:rsidRPr="00F82860">
        <w:rPr>
          <w:rFonts w:ascii="Times New Roman" w:hAnsi="Times New Roman"/>
          <w:bCs/>
          <w:sz w:val="22"/>
          <w:szCs w:val="22"/>
        </w:rPr>
        <w:t xml:space="preserve">) calendar days for </w:t>
      </w:r>
      <w:r w:rsidR="001F2655">
        <w:rPr>
          <w:rFonts w:ascii="Times New Roman" w:hAnsi="Times New Roman"/>
          <w:bCs/>
          <w:sz w:val="22"/>
          <w:szCs w:val="22"/>
        </w:rPr>
        <w:t xml:space="preserve">relevant </w:t>
      </w:r>
      <w:r w:rsidR="001F2655" w:rsidRPr="00F82860">
        <w:rPr>
          <w:rFonts w:ascii="Times New Roman" w:hAnsi="Times New Roman"/>
          <w:bCs/>
          <w:sz w:val="22"/>
          <w:szCs w:val="22"/>
        </w:rPr>
        <w:t>lot</w:t>
      </w:r>
      <w:r w:rsidR="0077355A">
        <w:rPr>
          <w:rFonts w:ascii="Times New Roman" w:hAnsi="Times New Roman"/>
          <w:bCs/>
          <w:sz w:val="22"/>
          <w:szCs w:val="22"/>
        </w:rPr>
        <w:t xml:space="preserve"> after the notice of the Contractor</w:t>
      </w:r>
      <w:r w:rsidR="001F2655" w:rsidRPr="00F82860">
        <w:rPr>
          <w:rFonts w:ascii="Times New Roman" w:hAnsi="Times New Roman"/>
          <w:bCs/>
          <w:sz w:val="22"/>
          <w:szCs w:val="22"/>
        </w:rPr>
        <w:t xml:space="preserve">.  </w:t>
      </w:r>
    </w:p>
    <w:p w14:paraId="64178ACF" w14:textId="27B2F94F" w:rsidR="0047783A" w:rsidRPr="001F2655" w:rsidRDefault="001F2655" w:rsidP="001F2655">
      <w:pPr>
        <w:ind w:left="1134"/>
        <w:jc w:val="both"/>
        <w:rPr>
          <w:rFonts w:ascii="Times New Roman" w:hAnsi="Times New Roman"/>
          <w:bCs/>
          <w:sz w:val="22"/>
          <w:szCs w:val="22"/>
          <w:lang w:val="en-US"/>
        </w:rPr>
      </w:pPr>
      <w:r w:rsidRPr="00F82860">
        <w:rPr>
          <w:rFonts w:ascii="Times New Roman" w:hAnsi="Times New Roman"/>
          <w:bCs/>
          <w:sz w:val="22"/>
          <w:szCs w:val="22"/>
          <w:lang w:val="en-US"/>
        </w:rPr>
        <w:t xml:space="preserve">During the inspection and testing procedure the quantities, the technical performances, the technical specifications, the technical documentation shall be verified. </w:t>
      </w:r>
      <w:r>
        <w:rPr>
          <w:rFonts w:ascii="Times New Roman" w:hAnsi="Times New Roman"/>
          <w:bCs/>
          <w:sz w:val="22"/>
          <w:szCs w:val="22"/>
          <w:lang w:val="en-US"/>
        </w:rPr>
        <w:t>Minimum</w:t>
      </w:r>
      <w:r w:rsidRPr="00F82860">
        <w:rPr>
          <w:rFonts w:ascii="Times New Roman" w:hAnsi="Times New Roman"/>
          <w:bCs/>
          <w:sz w:val="22"/>
          <w:szCs w:val="22"/>
          <w:lang w:val="en-US"/>
        </w:rPr>
        <w:t xml:space="preserve"> </w:t>
      </w:r>
      <w:r>
        <w:rPr>
          <w:rFonts w:ascii="Times New Roman" w:hAnsi="Times New Roman"/>
          <w:bCs/>
          <w:sz w:val="22"/>
          <w:szCs w:val="22"/>
          <w:lang w:val="en-US"/>
        </w:rPr>
        <w:t>10</w:t>
      </w:r>
      <w:r w:rsidRPr="00F82860">
        <w:rPr>
          <w:rFonts w:ascii="Times New Roman" w:hAnsi="Times New Roman"/>
          <w:bCs/>
          <w:sz w:val="22"/>
          <w:szCs w:val="22"/>
          <w:lang w:val="en-US"/>
        </w:rPr>
        <w:t xml:space="preserve"> </w:t>
      </w:r>
      <w:r>
        <w:rPr>
          <w:rFonts w:ascii="Times New Roman" w:hAnsi="Times New Roman"/>
          <w:bCs/>
          <w:sz w:val="22"/>
          <w:szCs w:val="22"/>
          <w:lang w:val="en-US"/>
        </w:rPr>
        <w:t>days</w:t>
      </w:r>
      <w:r w:rsidRPr="00F82860">
        <w:rPr>
          <w:rFonts w:ascii="Times New Roman" w:hAnsi="Times New Roman"/>
          <w:bCs/>
          <w:sz w:val="22"/>
          <w:szCs w:val="22"/>
          <w:lang w:val="en-US"/>
        </w:rPr>
        <w:t xml:space="preserve"> before the </w:t>
      </w:r>
      <w:r>
        <w:rPr>
          <w:rFonts w:ascii="Times New Roman" w:hAnsi="Times New Roman"/>
          <w:bCs/>
          <w:sz w:val="22"/>
          <w:szCs w:val="22"/>
          <w:lang w:val="en-US"/>
        </w:rPr>
        <w:t>delivery</w:t>
      </w:r>
      <w:r w:rsidRPr="00F82860">
        <w:rPr>
          <w:rFonts w:ascii="Times New Roman" w:hAnsi="Times New Roman"/>
          <w:bCs/>
          <w:sz w:val="22"/>
          <w:szCs w:val="22"/>
          <w:lang w:val="en-US"/>
        </w:rPr>
        <w:t xml:space="preserve">, the Contractor will inform the Contracting Authority about the </w:t>
      </w:r>
      <w:r w:rsidRPr="00F82860">
        <w:rPr>
          <w:rFonts w:ascii="Times New Roman" w:hAnsi="Times New Roman"/>
          <w:bCs/>
          <w:sz w:val="22"/>
          <w:szCs w:val="22"/>
          <w:lang w:val="en-US"/>
        </w:rPr>
        <w:lastRenderedPageBreak/>
        <w:t xml:space="preserve">possible schedule for inspection and testing procedures. During testing of the </w:t>
      </w:r>
      <w:r>
        <w:rPr>
          <w:rFonts w:ascii="Times New Roman" w:hAnsi="Times New Roman"/>
          <w:bCs/>
          <w:sz w:val="22"/>
          <w:szCs w:val="22"/>
          <w:lang w:val="en-US"/>
        </w:rPr>
        <w:t xml:space="preserve">supplies, </w:t>
      </w:r>
      <w:r w:rsidRPr="00F82860">
        <w:rPr>
          <w:rFonts w:ascii="Times New Roman" w:hAnsi="Times New Roman"/>
          <w:bCs/>
          <w:sz w:val="22"/>
          <w:szCs w:val="22"/>
          <w:lang w:val="en-US"/>
        </w:rPr>
        <w:t xml:space="preserve">the relevant </w:t>
      </w:r>
      <w:r>
        <w:rPr>
          <w:rFonts w:ascii="Times New Roman" w:hAnsi="Times New Roman"/>
          <w:bCs/>
          <w:sz w:val="22"/>
          <w:szCs w:val="22"/>
          <w:lang w:val="en-US"/>
        </w:rPr>
        <w:t>Contracting Authority’s</w:t>
      </w:r>
      <w:r w:rsidRPr="00F82860">
        <w:rPr>
          <w:rFonts w:ascii="Times New Roman" w:hAnsi="Times New Roman"/>
          <w:bCs/>
          <w:sz w:val="22"/>
          <w:szCs w:val="22"/>
          <w:lang w:val="en-US"/>
        </w:rPr>
        <w:t xml:space="preserve"> staff shall contribute the procedure.</w:t>
      </w:r>
      <w:r>
        <w:rPr>
          <w:rFonts w:ascii="Times New Roman" w:hAnsi="Times New Roman"/>
          <w:bCs/>
          <w:sz w:val="22"/>
          <w:szCs w:val="22"/>
          <w:lang w:val="en-US"/>
        </w:rPr>
        <w:t xml:space="preserve"> </w:t>
      </w:r>
    </w:p>
    <w:p w14:paraId="76351DF5" w14:textId="16927121" w:rsidR="0047783A" w:rsidRPr="003D6B6C" w:rsidRDefault="0047783A" w:rsidP="00B34179">
      <w:pPr>
        <w:spacing w:before="240"/>
        <w:ind w:left="1134" w:hanging="1134"/>
        <w:jc w:val="both"/>
        <w:rPr>
          <w:rFonts w:ascii="Times New Roman" w:hAnsi="Times New Roman"/>
          <w:b/>
          <w:sz w:val="24"/>
          <w:szCs w:val="24"/>
        </w:rPr>
      </w:pPr>
      <w:bookmarkStart w:id="21"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21"/>
      <w:r w:rsidR="005B0129" w:rsidRPr="003D6B6C">
        <w:rPr>
          <w:rFonts w:ascii="Times New Roman" w:hAnsi="Times New Roman"/>
          <w:b/>
          <w:sz w:val="24"/>
          <w:szCs w:val="24"/>
        </w:rPr>
        <w:t>General principles</w:t>
      </w:r>
    </w:p>
    <w:p w14:paraId="05D86986" w14:textId="7BD5DD66" w:rsidR="0047783A" w:rsidRDefault="0047783A" w:rsidP="001F2655">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1F2655" w:rsidRPr="00A25180">
        <w:rPr>
          <w:rFonts w:ascii="Times New Roman" w:hAnsi="Times New Roman"/>
          <w:sz w:val="22"/>
          <w:szCs w:val="22"/>
        </w:rPr>
        <w:t>Payments shall be made in Euro(s).</w:t>
      </w:r>
    </w:p>
    <w:p w14:paraId="1CBA1ECD" w14:textId="7F3011F8" w:rsidR="001F2655" w:rsidRPr="003D6B6C" w:rsidRDefault="001F2655" w:rsidP="001F2655">
      <w:pPr>
        <w:spacing w:before="0"/>
        <w:ind w:left="1134"/>
        <w:jc w:val="both"/>
        <w:rPr>
          <w:rFonts w:ascii="Times New Roman" w:hAnsi="Times New Roman"/>
          <w:sz w:val="22"/>
          <w:szCs w:val="22"/>
        </w:rPr>
      </w:pPr>
      <w:r w:rsidRPr="00A25180">
        <w:rPr>
          <w:rFonts w:ascii="Times New Roman" w:hAnsi="Times New Roman"/>
          <w:sz w:val="22"/>
          <w:szCs w:val="22"/>
        </w:rPr>
        <w:t>Payments shall be authorised and made by the Contracting Authority.</w:t>
      </w:r>
    </w:p>
    <w:p w14:paraId="2FBE1716" w14:textId="3D415732" w:rsidR="001F2655" w:rsidRDefault="006D5CEE" w:rsidP="001F2655">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1F2655" w:rsidRPr="00EE1A60">
        <w:rPr>
          <w:rFonts w:ascii="Times New Roman" w:hAnsi="Times New Roman"/>
          <w:sz w:val="22"/>
          <w:szCs w:val="22"/>
        </w:rPr>
        <w:t>By derogation, the pre-financing payments shall be made within 90 days from the date on which an admissible invoice is registered by the contracting authority. The final payment to the contractor of the amounts due shall be made within 90 days following provisional acceptance of the goods, after receipt by the contracting authority of an admissible invoice.</w:t>
      </w:r>
    </w:p>
    <w:p w14:paraId="2A8869AE" w14:textId="77777777" w:rsidR="001F2655" w:rsidRPr="00D44B4B" w:rsidRDefault="001F2655" w:rsidP="001F2655">
      <w:pPr>
        <w:autoSpaceDE w:val="0"/>
        <w:autoSpaceDN w:val="0"/>
        <w:adjustRightInd w:val="0"/>
        <w:spacing w:after="0"/>
        <w:ind w:firstLine="567"/>
        <w:rPr>
          <w:rFonts w:ascii="Times New Roman" w:hAnsi="Times New Roman"/>
          <w:sz w:val="22"/>
          <w:szCs w:val="22"/>
        </w:rPr>
      </w:pPr>
      <w:r w:rsidRPr="00D44B4B">
        <w:rPr>
          <w:rFonts w:ascii="Times New Roman" w:hAnsi="Times New Roman"/>
          <w:sz w:val="22"/>
          <w:szCs w:val="22"/>
        </w:rPr>
        <w:t>Invoice Requirements: The Contractor's invoice must include the following details:</w:t>
      </w:r>
    </w:p>
    <w:p w14:paraId="4E4B0503" w14:textId="77777777" w:rsidR="001F2655" w:rsidRPr="00D44B4B" w:rsidRDefault="001F2655" w:rsidP="001F2655">
      <w:pPr>
        <w:numPr>
          <w:ilvl w:val="1"/>
          <w:numId w:val="27"/>
        </w:numPr>
        <w:autoSpaceDE w:val="0"/>
        <w:autoSpaceDN w:val="0"/>
        <w:adjustRightInd w:val="0"/>
        <w:spacing w:before="0" w:after="0"/>
        <w:jc w:val="both"/>
        <w:rPr>
          <w:rFonts w:ascii="Times New Roman" w:hAnsi="Times New Roman"/>
          <w:sz w:val="22"/>
          <w:szCs w:val="22"/>
        </w:rPr>
      </w:pPr>
      <w:r w:rsidRPr="00D44B4B">
        <w:rPr>
          <w:rFonts w:ascii="Times New Roman" w:hAnsi="Times New Roman"/>
          <w:sz w:val="22"/>
          <w:szCs w:val="22"/>
        </w:rPr>
        <w:t>Contract reference number and contract title.</w:t>
      </w:r>
    </w:p>
    <w:p w14:paraId="2F0C24E6" w14:textId="77777777" w:rsidR="001F2655" w:rsidRPr="00D44B4B" w:rsidRDefault="001F2655" w:rsidP="001F2655">
      <w:pPr>
        <w:numPr>
          <w:ilvl w:val="1"/>
          <w:numId w:val="27"/>
        </w:numPr>
        <w:autoSpaceDE w:val="0"/>
        <w:autoSpaceDN w:val="0"/>
        <w:adjustRightInd w:val="0"/>
        <w:spacing w:before="0" w:after="0"/>
        <w:jc w:val="both"/>
        <w:rPr>
          <w:rFonts w:ascii="Times New Roman" w:hAnsi="Times New Roman"/>
          <w:sz w:val="22"/>
          <w:szCs w:val="22"/>
        </w:rPr>
      </w:pPr>
      <w:r w:rsidRPr="00D44B4B">
        <w:rPr>
          <w:rFonts w:ascii="Times New Roman" w:hAnsi="Times New Roman"/>
          <w:sz w:val="22"/>
          <w:szCs w:val="22"/>
        </w:rPr>
        <w:t>A clear description of the services provided, including the scope of work or tasks completed.</w:t>
      </w:r>
    </w:p>
    <w:p w14:paraId="7FF0591A" w14:textId="77777777" w:rsidR="001F2655" w:rsidRPr="00D44B4B" w:rsidRDefault="001F2655" w:rsidP="001F2655">
      <w:pPr>
        <w:numPr>
          <w:ilvl w:val="1"/>
          <w:numId w:val="27"/>
        </w:numPr>
        <w:autoSpaceDE w:val="0"/>
        <w:autoSpaceDN w:val="0"/>
        <w:adjustRightInd w:val="0"/>
        <w:spacing w:before="0" w:after="0"/>
        <w:jc w:val="both"/>
        <w:rPr>
          <w:rFonts w:ascii="Times New Roman" w:hAnsi="Times New Roman"/>
          <w:sz w:val="22"/>
          <w:szCs w:val="22"/>
        </w:rPr>
      </w:pPr>
      <w:r w:rsidRPr="00D44B4B">
        <w:rPr>
          <w:rFonts w:ascii="Times New Roman" w:hAnsi="Times New Roman"/>
          <w:sz w:val="22"/>
          <w:szCs w:val="22"/>
        </w:rPr>
        <w:t>Total amount due, inclusive of VAT, and clearly indicating the VAT amount.</w:t>
      </w:r>
    </w:p>
    <w:p w14:paraId="42973A93" w14:textId="77777777" w:rsidR="001F2655" w:rsidRPr="00D44B4B" w:rsidRDefault="001F2655" w:rsidP="001F2655">
      <w:pPr>
        <w:numPr>
          <w:ilvl w:val="1"/>
          <w:numId w:val="27"/>
        </w:numPr>
        <w:autoSpaceDE w:val="0"/>
        <w:autoSpaceDN w:val="0"/>
        <w:adjustRightInd w:val="0"/>
        <w:spacing w:before="0" w:after="0"/>
        <w:jc w:val="both"/>
        <w:rPr>
          <w:rFonts w:ascii="Times New Roman" w:hAnsi="Times New Roman"/>
          <w:sz w:val="22"/>
          <w:szCs w:val="22"/>
        </w:rPr>
      </w:pPr>
      <w:r w:rsidRPr="00D44B4B">
        <w:rPr>
          <w:rFonts w:ascii="Times New Roman" w:hAnsi="Times New Roman"/>
          <w:sz w:val="22"/>
          <w:szCs w:val="22"/>
        </w:rPr>
        <w:t>Bank account details of the Contractor for payment.</w:t>
      </w:r>
    </w:p>
    <w:p w14:paraId="3EAEE442" w14:textId="77777777" w:rsidR="001F2655" w:rsidRPr="00D44B4B" w:rsidRDefault="001F2655" w:rsidP="001F2655">
      <w:pPr>
        <w:autoSpaceDE w:val="0"/>
        <w:autoSpaceDN w:val="0"/>
        <w:adjustRightInd w:val="0"/>
        <w:spacing w:after="0"/>
        <w:ind w:firstLine="720"/>
        <w:rPr>
          <w:rFonts w:ascii="Times New Roman" w:hAnsi="Times New Roman"/>
          <w:sz w:val="22"/>
          <w:szCs w:val="22"/>
        </w:rPr>
      </w:pPr>
      <w:r w:rsidRPr="00D44B4B">
        <w:rPr>
          <w:rFonts w:ascii="Times New Roman" w:hAnsi="Times New Roman"/>
          <w:sz w:val="22"/>
          <w:szCs w:val="22"/>
        </w:rPr>
        <w:t xml:space="preserve">Approval and Issuance: </w:t>
      </w:r>
      <w:r>
        <w:rPr>
          <w:rFonts w:ascii="Times New Roman" w:hAnsi="Times New Roman"/>
          <w:sz w:val="22"/>
          <w:szCs w:val="22"/>
        </w:rPr>
        <w:t xml:space="preserve">balance </w:t>
      </w:r>
      <w:r w:rsidRPr="00D44B4B">
        <w:rPr>
          <w:rFonts w:ascii="Times New Roman" w:hAnsi="Times New Roman"/>
          <w:sz w:val="22"/>
          <w:szCs w:val="22"/>
        </w:rPr>
        <w:t>invoice may only be issued after:</w:t>
      </w:r>
    </w:p>
    <w:p w14:paraId="56777D0F" w14:textId="77777777" w:rsidR="001F2655" w:rsidRPr="00D44B4B" w:rsidRDefault="001F2655" w:rsidP="001F2655">
      <w:pPr>
        <w:numPr>
          <w:ilvl w:val="1"/>
          <w:numId w:val="27"/>
        </w:numPr>
        <w:autoSpaceDE w:val="0"/>
        <w:autoSpaceDN w:val="0"/>
        <w:adjustRightInd w:val="0"/>
        <w:spacing w:before="0" w:after="0"/>
        <w:jc w:val="both"/>
        <w:rPr>
          <w:rFonts w:ascii="Times New Roman" w:hAnsi="Times New Roman"/>
          <w:sz w:val="22"/>
          <w:szCs w:val="22"/>
        </w:rPr>
      </w:pPr>
      <w:r w:rsidRPr="00D44B4B">
        <w:rPr>
          <w:rFonts w:ascii="Times New Roman" w:hAnsi="Times New Roman"/>
          <w:sz w:val="22"/>
          <w:szCs w:val="22"/>
        </w:rPr>
        <w:t xml:space="preserve">The signing of an acceptance protocol by both parties, confirming the satisfactory completion of the </w:t>
      </w:r>
      <w:r>
        <w:rPr>
          <w:rFonts w:ascii="Times New Roman" w:hAnsi="Times New Roman"/>
          <w:sz w:val="22"/>
          <w:szCs w:val="22"/>
        </w:rPr>
        <w:t>delivery of the supplies</w:t>
      </w:r>
      <w:r w:rsidRPr="00D44B4B">
        <w:rPr>
          <w:rFonts w:ascii="Times New Roman" w:hAnsi="Times New Roman"/>
          <w:sz w:val="22"/>
          <w:szCs w:val="22"/>
        </w:rPr>
        <w:t>.</w:t>
      </w:r>
    </w:p>
    <w:p w14:paraId="4105946C" w14:textId="77777777" w:rsidR="001F2655" w:rsidRDefault="001F2655" w:rsidP="001F2655">
      <w:pPr>
        <w:autoSpaceDE w:val="0"/>
        <w:autoSpaceDN w:val="0"/>
        <w:adjustRightInd w:val="0"/>
        <w:spacing w:after="0"/>
        <w:ind w:left="709" w:firstLine="11"/>
        <w:rPr>
          <w:rFonts w:ascii="Times New Roman" w:hAnsi="Times New Roman"/>
          <w:sz w:val="22"/>
          <w:szCs w:val="22"/>
        </w:rPr>
      </w:pPr>
      <w:r w:rsidRPr="00D44B4B">
        <w:rPr>
          <w:rFonts w:ascii="Times New Roman" w:hAnsi="Times New Roman"/>
          <w:sz w:val="22"/>
          <w:szCs w:val="22"/>
        </w:rPr>
        <w:t xml:space="preserve">Supporting Documents: The invoice must be accompanied by the following supporting documents: </w:t>
      </w:r>
    </w:p>
    <w:p w14:paraId="65A1DE2A" w14:textId="62DADF13" w:rsidR="00CB228C" w:rsidRPr="00CB228C" w:rsidRDefault="001F2655" w:rsidP="00CB228C">
      <w:pPr>
        <w:numPr>
          <w:ilvl w:val="0"/>
          <w:numId w:val="28"/>
        </w:numPr>
        <w:autoSpaceDE w:val="0"/>
        <w:autoSpaceDN w:val="0"/>
        <w:adjustRightInd w:val="0"/>
        <w:spacing w:after="0"/>
        <w:rPr>
          <w:rFonts w:ascii="Times New Roman" w:hAnsi="Times New Roman"/>
          <w:sz w:val="22"/>
          <w:szCs w:val="22"/>
        </w:rPr>
      </w:pPr>
      <w:r w:rsidRPr="00D44B4B">
        <w:rPr>
          <w:rFonts w:ascii="Times New Roman" w:hAnsi="Times New Roman"/>
          <w:sz w:val="22"/>
          <w:szCs w:val="22"/>
        </w:rPr>
        <w:t xml:space="preserve">The signed </w:t>
      </w:r>
      <w:r>
        <w:rPr>
          <w:rFonts w:ascii="Times New Roman" w:hAnsi="Times New Roman"/>
          <w:sz w:val="22"/>
          <w:szCs w:val="22"/>
        </w:rPr>
        <w:t xml:space="preserve">provisional </w:t>
      </w:r>
      <w:r w:rsidRPr="00D44B4B">
        <w:rPr>
          <w:rFonts w:ascii="Times New Roman" w:hAnsi="Times New Roman"/>
          <w:sz w:val="22"/>
          <w:szCs w:val="22"/>
        </w:rPr>
        <w:t>acceptance protocol.</w:t>
      </w:r>
    </w:p>
    <w:p w14:paraId="780AD638" w14:textId="3966010F" w:rsidR="001B4DA9" w:rsidRPr="003D6B6C" w:rsidRDefault="00E87734" w:rsidP="00645D6F">
      <w:pPr>
        <w:ind w:left="1134" w:hanging="709"/>
        <w:jc w:val="both"/>
        <w:rPr>
          <w:rFonts w:ascii="Times New Roman" w:hAnsi="Times New Roman"/>
          <w:sz w:val="22"/>
          <w:szCs w:val="22"/>
        </w:rPr>
      </w:pPr>
      <w:r w:rsidRPr="003D6B6C">
        <w:rPr>
          <w:rFonts w:ascii="Times New Roman" w:hAnsi="Times New Roman"/>
          <w:sz w:val="22"/>
          <w:szCs w:val="22"/>
        </w:rPr>
        <w:t>26.</w:t>
      </w:r>
      <w:r w:rsidR="00645D6F">
        <w:rPr>
          <w:rFonts w:ascii="Times New Roman" w:hAnsi="Times New Roman"/>
          <w:sz w:val="22"/>
          <w:szCs w:val="22"/>
        </w:rPr>
        <w:t>9</w:t>
      </w:r>
      <w:r w:rsidR="0047783A" w:rsidRPr="003D6B6C">
        <w:rPr>
          <w:rFonts w:ascii="Times New Roman" w:hAnsi="Times New Roman"/>
          <w:sz w:val="22"/>
          <w:szCs w:val="22"/>
        </w:rPr>
        <w:tab/>
        <w:t xml:space="preserve">In order to obtain payments, the </w:t>
      </w:r>
      <w:r w:rsidR="00F60098">
        <w:rPr>
          <w:rFonts w:ascii="Times New Roman" w:hAnsi="Times New Roman"/>
          <w:sz w:val="22"/>
          <w:szCs w:val="22"/>
        </w:rPr>
        <w:t>c</w:t>
      </w:r>
      <w:r w:rsidR="0047783A" w:rsidRPr="003D6B6C">
        <w:rPr>
          <w:rFonts w:ascii="Times New Roman" w:hAnsi="Times New Roman"/>
          <w:sz w:val="22"/>
          <w:szCs w:val="22"/>
        </w:rPr>
        <w:t xml:space="preserve">ontractor must </w:t>
      </w:r>
      <w:r w:rsidR="004C6030">
        <w:rPr>
          <w:rFonts w:ascii="Times New Roman" w:hAnsi="Times New Roman"/>
          <w:sz w:val="22"/>
          <w:szCs w:val="22"/>
        </w:rPr>
        <w:t>submit</w:t>
      </w:r>
      <w:r w:rsidR="0047783A" w:rsidRPr="003D6B6C">
        <w:rPr>
          <w:rFonts w:ascii="Times New Roman" w:hAnsi="Times New Roman"/>
          <w:sz w:val="22"/>
          <w:szCs w:val="22"/>
        </w:rPr>
        <w:t xml:space="preserve"> to the authority referred to in paragraph 26.1 above:</w:t>
      </w:r>
    </w:p>
    <w:p w14:paraId="09C649BF" w14:textId="11496667" w:rsidR="00E87734" w:rsidRPr="003D6B6C" w:rsidRDefault="00035D61" w:rsidP="005852F6">
      <w:pPr>
        <w:ind w:left="1560" w:hanging="426"/>
        <w:jc w:val="both"/>
        <w:rPr>
          <w:rFonts w:ascii="Times New Roman" w:hAnsi="Times New Roman"/>
          <w:bCs/>
          <w:sz w:val="22"/>
          <w:szCs w:val="22"/>
        </w:rPr>
      </w:pPr>
      <w:r w:rsidRPr="003D6B6C">
        <w:rPr>
          <w:rFonts w:ascii="Times New Roman" w:hAnsi="Times New Roman"/>
          <w:sz w:val="22"/>
          <w:szCs w:val="22"/>
        </w:rPr>
        <w:t>a)</w:t>
      </w:r>
      <w:r w:rsidRPr="003D6B6C">
        <w:rPr>
          <w:rFonts w:ascii="Times New Roman" w:hAnsi="Times New Roman"/>
          <w:b/>
          <w:sz w:val="22"/>
          <w:szCs w:val="22"/>
        </w:rPr>
        <w:tab/>
      </w:r>
      <w:r w:rsidR="006219A1">
        <w:rPr>
          <w:rFonts w:ascii="Times New Roman" w:hAnsi="Times New Roman"/>
          <w:bCs/>
          <w:sz w:val="22"/>
          <w:szCs w:val="22"/>
          <w:highlight w:val="lightGray"/>
        </w:rPr>
        <w:t>For the 40% pre-financing</w:t>
      </w:r>
      <w:r w:rsidR="006219A1" w:rsidRPr="00F017DE">
        <w:rPr>
          <w:rFonts w:ascii="Times New Roman" w:hAnsi="Times New Roman"/>
          <w:sz w:val="22"/>
          <w:szCs w:val="22"/>
        </w:rPr>
        <w:t xml:space="preserve">, </w:t>
      </w:r>
      <w:r w:rsidR="00720411">
        <w:rPr>
          <w:rFonts w:ascii="Times New Roman" w:hAnsi="Times New Roman"/>
          <w:sz w:val="22"/>
          <w:szCs w:val="22"/>
          <w:highlight w:val="lightGray"/>
        </w:rPr>
        <w:t>the</w:t>
      </w:r>
      <w:r w:rsidR="004C6030">
        <w:rPr>
          <w:rFonts w:ascii="Times New Roman" w:hAnsi="Times New Roman"/>
          <w:sz w:val="22"/>
          <w:szCs w:val="22"/>
          <w:highlight w:val="lightGray"/>
        </w:rPr>
        <w:t xml:space="preserve"> invoice</w:t>
      </w:r>
      <w:r w:rsidR="001C6A79">
        <w:rPr>
          <w:rStyle w:val="DipnotBavurusu"/>
          <w:rFonts w:ascii="Times New Roman" w:hAnsi="Times New Roman"/>
          <w:sz w:val="22"/>
          <w:szCs w:val="22"/>
          <w:highlight w:val="lightGray"/>
        </w:rPr>
        <w:footnoteReference w:id="3"/>
      </w:r>
      <w:r w:rsidR="004C6030">
        <w:rPr>
          <w:rFonts w:ascii="Times New Roman" w:hAnsi="Times New Roman"/>
          <w:sz w:val="22"/>
          <w:szCs w:val="22"/>
        </w:rPr>
        <w:t xml:space="preserve"> </w:t>
      </w:r>
      <w:r w:rsidR="00720411">
        <w:rPr>
          <w:rFonts w:ascii="Times New Roman" w:hAnsi="Times New Roman"/>
          <w:sz w:val="22"/>
          <w:szCs w:val="22"/>
          <w:highlight w:val="lightGray"/>
        </w:rPr>
        <w:t>and</w:t>
      </w:r>
      <w:r w:rsidR="00720411">
        <w:rPr>
          <w:rFonts w:ascii="Times New Roman" w:hAnsi="Times New Roman"/>
          <w:sz w:val="22"/>
          <w:szCs w:val="22"/>
        </w:rPr>
        <w:t xml:space="preserve"> </w:t>
      </w:r>
      <w:r w:rsidR="006219A1">
        <w:rPr>
          <w:rFonts w:ascii="Times New Roman" w:hAnsi="Times New Roman"/>
          <w:bCs/>
          <w:sz w:val="22"/>
          <w:szCs w:val="22"/>
          <w:highlight w:val="lightGray"/>
        </w:rPr>
        <w:t>the pre-financing guarantee</w:t>
      </w:r>
      <w:r w:rsidR="005852F6">
        <w:rPr>
          <w:rFonts w:ascii="Times New Roman" w:hAnsi="Times New Roman"/>
          <w:bCs/>
          <w:sz w:val="22"/>
          <w:szCs w:val="22"/>
        </w:rPr>
        <w:t xml:space="preserve"> </w:t>
      </w:r>
    </w:p>
    <w:p w14:paraId="21DD1760" w14:textId="4928055D" w:rsidR="0047783A" w:rsidRPr="00A82710" w:rsidRDefault="0047783A" w:rsidP="00A82710">
      <w:pPr>
        <w:ind w:left="1559" w:hanging="425"/>
        <w:jc w:val="both"/>
        <w:rPr>
          <w:rFonts w:ascii="Times New Roman" w:hAnsi="Times New Roman"/>
          <w:sz w:val="22"/>
          <w:szCs w:val="22"/>
        </w:rPr>
      </w:pPr>
      <w:r w:rsidRPr="003D6B6C">
        <w:rPr>
          <w:rFonts w:ascii="Times New Roman" w:hAnsi="Times New Roman"/>
          <w:sz w:val="22"/>
          <w:szCs w:val="22"/>
        </w:rPr>
        <w:t>b)</w:t>
      </w:r>
      <w:r w:rsidRPr="003D6B6C">
        <w:rPr>
          <w:rFonts w:ascii="Times New Roman" w:hAnsi="Times New Roman"/>
          <w:b/>
          <w:sz w:val="22"/>
          <w:szCs w:val="22"/>
        </w:rPr>
        <w:tab/>
      </w:r>
      <w:r>
        <w:rPr>
          <w:rFonts w:ascii="Times New Roman" w:hAnsi="Times New Roman"/>
          <w:bCs/>
          <w:sz w:val="22"/>
          <w:szCs w:val="22"/>
          <w:highlight w:val="lightGray"/>
        </w:rPr>
        <w:t xml:space="preserve">For the </w:t>
      </w:r>
      <w:r w:rsidR="00441859">
        <w:rPr>
          <w:rFonts w:ascii="Times New Roman" w:hAnsi="Times New Roman"/>
          <w:bCs/>
          <w:sz w:val="22"/>
          <w:szCs w:val="22"/>
          <w:highlight w:val="lightGray"/>
        </w:rPr>
        <w:t>6</w:t>
      </w:r>
      <w:r>
        <w:rPr>
          <w:rFonts w:ascii="Times New Roman" w:hAnsi="Times New Roman"/>
          <w:bCs/>
          <w:sz w:val="22"/>
          <w:szCs w:val="22"/>
          <w:highlight w:val="lightGray"/>
        </w:rPr>
        <w:t>0</w:t>
      </w:r>
      <w:r w:rsidR="006A5F84">
        <w:rPr>
          <w:rFonts w:ascii="Times New Roman" w:hAnsi="Times New Roman"/>
          <w:bCs/>
          <w:sz w:val="22"/>
          <w:szCs w:val="22"/>
          <w:highlight w:val="lightGray"/>
        </w:rPr>
        <w:t> </w:t>
      </w:r>
      <w:r>
        <w:rPr>
          <w:rFonts w:ascii="Times New Roman" w:hAnsi="Times New Roman"/>
          <w:bCs/>
          <w:sz w:val="22"/>
          <w:szCs w:val="22"/>
          <w:highlight w:val="lightGray"/>
        </w:rPr>
        <w:t>% balance</w:t>
      </w:r>
      <w:r w:rsidR="00512BE8" w:rsidRPr="00512BE8">
        <w:rPr>
          <w:rFonts w:ascii="Times New Roman" w:hAnsi="Times New Roman"/>
          <w:b/>
          <w:sz w:val="22"/>
          <w:szCs w:val="22"/>
        </w:rPr>
        <w:t xml:space="preserve"> </w:t>
      </w:r>
      <w:r w:rsidR="005852F6">
        <w:rPr>
          <w:rFonts w:ascii="Times New Roman" w:hAnsi="Times New Roman"/>
          <w:b/>
          <w:sz w:val="22"/>
          <w:szCs w:val="22"/>
        </w:rPr>
        <w:t xml:space="preserve">or </w:t>
      </w:r>
      <w:proofErr w:type="gramStart"/>
      <w:r w:rsidR="00512BE8">
        <w:rPr>
          <w:rFonts w:ascii="Times New Roman" w:hAnsi="Times New Roman"/>
          <w:bCs/>
          <w:sz w:val="22"/>
          <w:szCs w:val="22"/>
          <w:highlight w:val="lightGray"/>
        </w:rPr>
        <w:t>For</w:t>
      </w:r>
      <w:proofErr w:type="gramEnd"/>
      <w:r w:rsidR="00512BE8">
        <w:rPr>
          <w:rFonts w:ascii="Times New Roman" w:hAnsi="Times New Roman"/>
          <w:bCs/>
          <w:sz w:val="22"/>
          <w:szCs w:val="22"/>
          <w:highlight w:val="lightGray"/>
        </w:rPr>
        <w:t xml:space="preserve"> the 100 % balance</w:t>
      </w:r>
      <w:r w:rsidR="00A31EF5">
        <w:rPr>
          <w:rFonts w:ascii="Times New Roman" w:hAnsi="Times New Roman"/>
          <w:bCs/>
          <w:sz w:val="22"/>
          <w:szCs w:val="22"/>
        </w:rPr>
        <w:t>,</w:t>
      </w:r>
      <w:r w:rsidRPr="003D6B6C">
        <w:rPr>
          <w:rFonts w:ascii="Times New Roman" w:hAnsi="Times New Roman"/>
          <w:sz w:val="22"/>
          <w:szCs w:val="22"/>
        </w:rPr>
        <w:t xml:space="preserve"> the invoice(s) </w:t>
      </w:r>
      <w:r w:rsidR="00E14620">
        <w:rPr>
          <w:rFonts w:ascii="Times New Roman" w:hAnsi="Times New Roman"/>
          <w:sz w:val="22"/>
          <w:szCs w:val="22"/>
        </w:rPr>
        <w:t xml:space="preserve">and </w:t>
      </w:r>
      <w:r w:rsidR="00925DBE" w:rsidRPr="003D6B6C">
        <w:rPr>
          <w:rFonts w:ascii="Times New Roman" w:hAnsi="Times New Roman"/>
          <w:sz w:val="22"/>
          <w:szCs w:val="22"/>
        </w:rPr>
        <w:t xml:space="preserve">the </w:t>
      </w:r>
      <w:r w:rsidR="00D82A0E">
        <w:rPr>
          <w:rFonts w:ascii="Times New Roman" w:hAnsi="Times New Roman"/>
          <w:sz w:val="22"/>
          <w:szCs w:val="22"/>
        </w:rPr>
        <w:t xml:space="preserve">application </w:t>
      </w:r>
      <w:r w:rsidR="00925DBE" w:rsidRPr="003D6B6C">
        <w:rPr>
          <w:rFonts w:ascii="Times New Roman" w:hAnsi="Times New Roman"/>
          <w:sz w:val="22"/>
          <w:szCs w:val="22"/>
        </w:rPr>
        <w:t xml:space="preserve">for </w:t>
      </w:r>
      <w:r w:rsidR="00D82A0E">
        <w:rPr>
          <w:rFonts w:ascii="Times New Roman" w:hAnsi="Times New Roman"/>
          <w:sz w:val="22"/>
          <w:szCs w:val="22"/>
        </w:rPr>
        <w:t xml:space="preserve">the certificate of </w:t>
      </w:r>
      <w:r w:rsidRPr="003D6B6C">
        <w:rPr>
          <w:rFonts w:ascii="Times New Roman" w:hAnsi="Times New Roman"/>
          <w:sz w:val="22"/>
          <w:szCs w:val="22"/>
        </w:rPr>
        <w:t>provisional acceptance</w:t>
      </w:r>
      <w:r w:rsidR="00D82A0E">
        <w:rPr>
          <w:rFonts w:ascii="Times New Roman" w:hAnsi="Times New Roman"/>
          <w:sz w:val="22"/>
          <w:szCs w:val="22"/>
        </w:rPr>
        <w:t xml:space="preserve">, </w:t>
      </w:r>
      <w:r w:rsidR="00E14620">
        <w:rPr>
          <w:rFonts w:ascii="Times New Roman" w:hAnsi="Times New Roman"/>
          <w:sz w:val="22"/>
          <w:szCs w:val="22"/>
        </w:rPr>
        <w:t xml:space="preserve">and if applicable, </w:t>
      </w:r>
      <w:r w:rsidR="00D82A0E">
        <w:rPr>
          <w:rFonts w:ascii="Times New Roman" w:hAnsi="Times New Roman"/>
          <w:sz w:val="22"/>
          <w:szCs w:val="22"/>
        </w:rPr>
        <w:t>the certificates of origin for the supplies delivered</w:t>
      </w:r>
      <w:r w:rsidR="00E14620">
        <w:rPr>
          <w:rFonts w:ascii="Times New Roman" w:hAnsi="Times New Roman"/>
          <w:sz w:val="22"/>
          <w:szCs w:val="22"/>
        </w:rPr>
        <w:t xml:space="preserve"> and Annex V</w:t>
      </w:r>
      <w:r w:rsidR="00C40278">
        <w:rPr>
          <w:rFonts w:ascii="Times New Roman" w:hAnsi="Times New Roman"/>
          <w:sz w:val="22"/>
          <w:szCs w:val="22"/>
        </w:rPr>
        <w:t xml:space="preserve"> </w:t>
      </w:r>
      <w:r w:rsidR="00E14620">
        <w:rPr>
          <w:rFonts w:ascii="Times New Roman" w:hAnsi="Times New Roman"/>
          <w:sz w:val="22"/>
          <w:szCs w:val="22"/>
        </w:rPr>
        <w:t>-</w:t>
      </w:r>
      <w:r w:rsidR="00C40278">
        <w:rPr>
          <w:rFonts w:ascii="Times New Roman" w:hAnsi="Times New Roman"/>
          <w:sz w:val="22"/>
          <w:szCs w:val="22"/>
        </w:rPr>
        <w:t xml:space="preserve"> </w:t>
      </w:r>
      <w:r w:rsidR="00E14620">
        <w:rPr>
          <w:rFonts w:ascii="Times New Roman" w:hAnsi="Times New Roman"/>
          <w:sz w:val="22"/>
          <w:szCs w:val="22"/>
        </w:rPr>
        <w:t>VAT instructions indicating the group members shares for VAT purposes.</w:t>
      </w:r>
    </w:p>
    <w:p w14:paraId="60E2B580" w14:textId="2537521C" w:rsidR="006A601D" w:rsidRPr="003D6B6C" w:rsidRDefault="006A601D" w:rsidP="006B145B">
      <w:pPr>
        <w:tabs>
          <w:tab w:val="right" w:pos="9885"/>
        </w:tabs>
        <w:ind w:left="1134" w:hanging="709"/>
        <w:jc w:val="both"/>
        <w:rPr>
          <w:rFonts w:ascii="Times New Roman" w:hAnsi="Times New Roman"/>
          <w:b/>
          <w:sz w:val="22"/>
          <w:szCs w:val="22"/>
        </w:rPr>
      </w:pPr>
      <w:r>
        <w:rPr>
          <w:rFonts w:ascii="Times New Roman" w:hAnsi="Times New Roman"/>
          <w:color w:val="000000"/>
          <w:sz w:val="22"/>
          <w:szCs w:val="22"/>
        </w:rPr>
        <w:t>26.1</w:t>
      </w:r>
      <w:r w:rsidR="00815BD5">
        <w:rPr>
          <w:rFonts w:ascii="Times New Roman" w:hAnsi="Times New Roman"/>
          <w:color w:val="000000"/>
          <w:sz w:val="22"/>
          <w:szCs w:val="22"/>
        </w:rPr>
        <w:t>4</w:t>
      </w:r>
      <w:r>
        <w:rPr>
          <w:rFonts w:ascii="Times New Roman" w:hAnsi="Times New Roman"/>
          <w:color w:val="000000"/>
          <w:sz w:val="22"/>
          <w:szCs w:val="22"/>
        </w:rPr>
        <w:tab/>
      </w:r>
      <w:bookmarkStart w:id="23" w:name="_Hlk169016590"/>
      <w:r w:rsidRPr="0039564A">
        <w:rPr>
          <w:rFonts w:ascii="Times New Roman" w:hAnsi="Times New Roman"/>
          <w:bCs/>
          <w:color w:val="000000"/>
          <w:sz w:val="22"/>
          <w:szCs w:val="22"/>
        </w:rPr>
        <w:t>Any payment may be offset against outstanding debts of any consortium member.</w:t>
      </w:r>
      <w:bookmarkEnd w:id="23"/>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24"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5366F434" w:rsidR="0047783A" w:rsidRPr="003D6B6C" w:rsidRDefault="0047783A" w:rsidP="00D44458">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D44458">
        <w:rPr>
          <w:rFonts w:ascii="Times New Roman" w:hAnsi="Times New Roman"/>
          <w:snapToGrid/>
          <w:sz w:val="22"/>
          <w:szCs w:val="22"/>
          <w:lang w:eastAsia="en-GB"/>
        </w:rPr>
        <w:t xml:space="preserve">By derogation from Article 28.2 of the </w:t>
      </w:r>
      <w:r w:rsidR="00F60098" w:rsidRPr="00D44458">
        <w:rPr>
          <w:rFonts w:ascii="Times New Roman" w:hAnsi="Times New Roman"/>
          <w:snapToGrid/>
          <w:sz w:val="22"/>
          <w:szCs w:val="22"/>
          <w:lang w:eastAsia="en-GB"/>
        </w:rPr>
        <w:t>g</w:t>
      </w:r>
      <w:r w:rsidRPr="00D44458">
        <w:rPr>
          <w:rFonts w:ascii="Times New Roman" w:hAnsi="Times New Roman"/>
          <w:snapToGrid/>
          <w:sz w:val="22"/>
          <w:szCs w:val="22"/>
          <w:lang w:eastAsia="en-GB"/>
        </w:rPr>
        <w:t xml:space="preserve">eneral </w:t>
      </w:r>
      <w:r w:rsidR="00F60098" w:rsidRPr="00D44458">
        <w:rPr>
          <w:rFonts w:ascii="Times New Roman" w:hAnsi="Times New Roman"/>
          <w:snapToGrid/>
          <w:sz w:val="22"/>
          <w:szCs w:val="22"/>
          <w:lang w:eastAsia="en-GB"/>
        </w:rPr>
        <w:t>c</w:t>
      </w:r>
      <w:r w:rsidRPr="00D44458">
        <w:rPr>
          <w:rFonts w:ascii="Times New Roman" w:hAnsi="Times New Roman"/>
          <w:snapToGrid/>
          <w:sz w:val="22"/>
          <w:szCs w:val="22"/>
          <w:lang w:eastAsia="en-GB"/>
        </w:rPr>
        <w:t>onditions, o</w:t>
      </w:r>
      <w:r w:rsidRPr="00D44458">
        <w:rPr>
          <w:rFonts w:ascii="Times New Roman" w:hAnsi="Times New Roman"/>
          <w:sz w:val="22"/>
          <w:szCs w:val="22"/>
        </w:rPr>
        <w:t>nce the deadline laid down in Article 2</w:t>
      </w:r>
      <w:r w:rsidR="00D83918" w:rsidRPr="00D44458">
        <w:rPr>
          <w:rFonts w:ascii="Times New Roman" w:hAnsi="Times New Roman"/>
          <w:sz w:val="22"/>
          <w:szCs w:val="22"/>
        </w:rPr>
        <w:t>6.3</w:t>
      </w:r>
      <w:r w:rsidRPr="00D44458">
        <w:rPr>
          <w:rFonts w:ascii="Times New Roman" w:hAnsi="Times New Roman"/>
          <w:sz w:val="22"/>
          <w:szCs w:val="22"/>
        </w:rPr>
        <w:t xml:space="preserve"> has expired, the </w:t>
      </w:r>
      <w:r w:rsidR="00F60098" w:rsidRPr="00D44458">
        <w:rPr>
          <w:rFonts w:ascii="Times New Roman" w:hAnsi="Times New Roman"/>
          <w:sz w:val="22"/>
          <w:szCs w:val="22"/>
        </w:rPr>
        <w:t>c</w:t>
      </w:r>
      <w:r w:rsidRPr="00D44458">
        <w:rPr>
          <w:rFonts w:ascii="Times New Roman" w:hAnsi="Times New Roman"/>
          <w:sz w:val="22"/>
          <w:szCs w:val="22"/>
        </w:rPr>
        <w:t xml:space="preserve">ontractor </w:t>
      </w:r>
      <w:r w:rsidR="00551543" w:rsidRPr="00D44458">
        <w:rPr>
          <w:rFonts w:ascii="Times New Roman" w:hAnsi="Times New Roman"/>
          <w:sz w:val="22"/>
          <w:szCs w:val="22"/>
        </w:rPr>
        <w:t>sha</w:t>
      </w:r>
      <w:r w:rsidR="006D3BA1" w:rsidRPr="00D44458">
        <w:rPr>
          <w:rFonts w:ascii="Times New Roman" w:hAnsi="Times New Roman"/>
          <w:sz w:val="22"/>
          <w:szCs w:val="22"/>
        </w:rPr>
        <w:t>ll,</w:t>
      </w:r>
      <w:r w:rsidRPr="00D44458">
        <w:rPr>
          <w:rFonts w:ascii="Times New Roman" w:hAnsi="Times New Roman"/>
          <w:sz w:val="22"/>
          <w:szCs w:val="22"/>
        </w:rPr>
        <w:t xml:space="preserve"> upon demand, </w:t>
      </w:r>
      <w:r w:rsidR="006D3BA1" w:rsidRPr="00D44458">
        <w:rPr>
          <w:rFonts w:ascii="Times New Roman" w:hAnsi="Times New Roman"/>
          <w:sz w:val="22"/>
          <w:szCs w:val="22"/>
        </w:rPr>
        <w:t xml:space="preserve">be entitled to late-payment </w:t>
      </w:r>
      <w:r w:rsidR="006D3BA1" w:rsidRPr="00D44458">
        <w:rPr>
          <w:rFonts w:ascii="Times New Roman" w:hAnsi="Times New Roman"/>
          <w:sz w:val="22"/>
          <w:szCs w:val="22"/>
        </w:rPr>
        <w:lastRenderedPageBreak/>
        <w:t xml:space="preserve">interest </w:t>
      </w:r>
      <w:r w:rsidR="00117ADA" w:rsidRPr="00D44458">
        <w:rPr>
          <w:rFonts w:ascii="Times New Roman" w:hAnsi="Times New Roman"/>
          <w:sz w:val="22"/>
          <w:szCs w:val="22"/>
        </w:rPr>
        <w:t xml:space="preserve">at the rate and for the period mentioned in the </w:t>
      </w:r>
      <w:r w:rsidR="00F60098" w:rsidRPr="00D44458">
        <w:rPr>
          <w:rFonts w:ascii="Times New Roman" w:hAnsi="Times New Roman"/>
          <w:sz w:val="22"/>
          <w:szCs w:val="22"/>
        </w:rPr>
        <w:t>g</w:t>
      </w:r>
      <w:r w:rsidR="00117ADA" w:rsidRPr="00D44458">
        <w:rPr>
          <w:rFonts w:ascii="Times New Roman" w:hAnsi="Times New Roman"/>
          <w:sz w:val="22"/>
          <w:szCs w:val="22"/>
        </w:rPr>
        <w:t xml:space="preserve">eneral </w:t>
      </w:r>
      <w:r w:rsidR="00F60098" w:rsidRPr="00D44458">
        <w:rPr>
          <w:rFonts w:ascii="Times New Roman" w:hAnsi="Times New Roman"/>
          <w:sz w:val="22"/>
          <w:szCs w:val="22"/>
        </w:rPr>
        <w:t>c</w:t>
      </w:r>
      <w:r w:rsidR="00117ADA" w:rsidRPr="00D44458">
        <w:rPr>
          <w:rFonts w:ascii="Times New Roman" w:hAnsi="Times New Roman"/>
          <w:sz w:val="22"/>
          <w:szCs w:val="22"/>
        </w:rPr>
        <w:t>onditions</w:t>
      </w:r>
      <w:r w:rsidR="006D3BA1" w:rsidRPr="00D44458">
        <w:rPr>
          <w:rFonts w:ascii="Times New Roman" w:hAnsi="Times New Roman"/>
          <w:sz w:val="22"/>
          <w:szCs w:val="22"/>
        </w:rPr>
        <w:t xml:space="preserve">. The demand must be </w:t>
      </w:r>
      <w:r w:rsidRPr="00D44458">
        <w:rPr>
          <w:rFonts w:ascii="Times New Roman" w:hAnsi="Times New Roman"/>
          <w:sz w:val="22"/>
          <w:szCs w:val="22"/>
        </w:rPr>
        <w:t>submitted within two months of receiving late payment.</w:t>
      </w:r>
    </w:p>
    <w:p w14:paraId="210201A9" w14:textId="4F7A92A8"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4"/>
    </w:p>
    <w:p w14:paraId="2C5926D3" w14:textId="3153D9F7"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D44458">
        <w:rPr>
          <w:rFonts w:ascii="Times New Roman" w:hAnsi="Times New Roman"/>
          <w:sz w:val="22"/>
          <w:szCs w:val="22"/>
        </w:rPr>
        <w:t>DDP</w:t>
      </w:r>
    </w:p>
    <w:p w14:paraId="4517A6CF" w14:textId="01ACC375" w:rsidR="0047783A" w:rsidRPr="00D44458" w:rsidRDefault="0047783A" w:rsidP="00D44458">
      <w:pPr>
        <w:ind w:left="1134" w:hanging="709"/>
        <w:jc w:val="both"/>
        <w:rPr>
          <w:rFonts w:ascii="Times New Roman" w:hAnsi="Times New Roman"/>
          <w:b/>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Pr="00D44458">
        <w:rPr>
          <w:rFonts w:ascii="Times New Roman" w:hAnsi="Times New Roman"/>
          <w:sz w:val="22"/>
          <w:szCs w:val="22"/>
        </w:rPr>
        <w:t xml:space="preserve">The packaging </w:t>
      </w:r>
      <w:r w:rsidR="00551543" w:rsidRPr="00D44458">
        <w:rPr>
          <w:rFonts w:ascii="Times New Roman" w:hAnsi="Times New Roman"/>
          <w:sz w:val="22"/>
          <w:szCs w:val="22"/>
        </w:rPr>
        <w:t>sha</w:t>
      </w:r>
      <w:r w:rsidR="008C4E79" w:rsidRPr="00D44458">
        <w:rPr>
          <w:rFonts w:ascii="Times New Roman" w:hAnsi="Times New Roman"/>
          <w:sz w:val="22"/>
          <w:szCs w:val="22"/>
        </w:rPr>
        <w:t>ll</w:t>
      </w:r>
      <w:r w:rsidRPr="00D44458">
        <w:rPr>
          <w:rFonts w:ascii="Times New Roman" w:hAnsi="Times New Roman"/>
          <w:sz w:val="22"/>
          <w:szCs w:val="22"/>
        </w:rPr>
        <w:t xml:space="preserve"> become the property of the recipient subject to environment</w:t>
      </w:r>
      <w:r w:rsidR="006D3BA1" w:rsidRPr="00D44458">
        <w:rPr>
          <w:rFonts w:ascii="Times New Roman" w:hAnsi="Times New Roman"/>
          <w:sz w:val="22"/>
          <w:szCs w:val="22"/>
        </w:rPr>
        <w:t>al considerations</w:t>
      </w:r>
      <w:r w:rsidR="00CB228C">
        <w:rPr>
          <w:rFonts w:ascii="Times New Roman" w:hAnsi="Times New Roman"/>
          <w:sz w:val="22"/>
          <w:szCs w:val="22"/>
        </w:rPr>
        <w:t>.</w:t>
      </w:r>
    </w:p>
    <w:p w14:paraId="64F05594" w14:textId="68F36783"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406264" w:rsidRPr="002B1610">
        <w:rPr>
          <w:rFonts w:ascii="Times New Roman" w:hAnsi="Times New Roman"/>
          <w:sz w:val="22"/>
          <w:lang w:val="en-US"/>
        </w:rPr>
        <w:t xml:space="preserve">delivered at </w:t>
      </w:r>
      <w:bookmarkStart w:id="25" w:name="_Hlk212555526"/>
      <w:r w:rsidR="00406264" w:rsidRPr="006251C2">
        <w:rPr>
          <w:rFonts w:ascii="Times New Roman" w:hAnsi="Times New Roman"/>
          <w:b/>
          <w:bCs/>
          <w:i/>
          <w:iCs/>
          <w:color w:val="000000"/>
          <w:sz w:val="22"/>
          <w:szCs w:val="22"/>
        </w:rPr>
        <w:t xml:space="preserve">Devlet </w:t>
      </w:r>
      <w:proofErr w:type="spellStart"/>
      <w:r w:rsidR="00406264" w:rsidRPr="006251C2">
        <w:rPr>
          <w:rFonts w:ascii="Times New Roman" w:hAnsi="Times New Roman"/>
          <w:b/>
          <w:bCs/>
          <w:i/>
          <w:iCs/>
          <w:color w:val="000000"/>
          <w:sz w:val="22"/>
          <w:szCs w:val="22"/>
        </w:rPr>
        <w:t>Mahallesi</w:t>
      </w:r>
      <w:proofErr w:type="spellEnd"/>
      <w:r w:rsidR="00406264" w:rsidRPr="006251C2">
        <w:rPr>
          <w:rFonts w:ascii="Times New Roman" w:hAnsi="Times New Roman"/>
          <w:b/>
          <w:bCs/>
          <w:i/>
          <w:iCs/>
          <w:color w:val="000000"/>
          <w:sz w:val="22"/>
          <w:szCs w:val="22"/>
        </w:rPr>
        <w:t xml:space="preserve"> Atat</w:t>
      </w:r>
      <w:r w:rsidR="00406264">
        <w:rPr>
          <w:rFonts w:ascii="Times New Roman" w:hAnsi="Times New Roman"/>
          <w:b/>
          <w:bCs/>
          <w:i/>
          <w:iCs/>
          <w:color w:val="000000"/>
          <w:sz w:val="22"/>
          <w:szCs w:val="22"/>
        </w:rPr>
        <w:t>ü</w:t>
      </w:r>
      <w:r w:rsidR="00406264" w:rsidRPr="006251C2">
        <w:rPr>
          <w:rFonts w:ascii="Times New Roman" w:hAnsi="Times New Roman"/>
          <w:b/>
          <w:bCs/>
          <w:i/>
          <w:iCs/>
          <w:color w:val="000000"/>
          <w:sz w:val="22"/>
          <w:szCs w:val="22"/>
        </w:rPr>
        <w:t xml:space="preserve">rk </w:t>
      </w:r>
      <w:proofErr w:type="spellStart"/>
      <w:r w:rsidR="00406264" w:rsidRPr="006251C2">
        <w:rPr>
          <w:rFonts w:ascii="Times New Roman" w:hAnsi="Times New Roman"/>
          <w:b/>
          <w:bCs/>
          <w:i/>
          <w:iCs/>
          <w:color w:val="000000"/>
          <w:sz w:val="22"/>
          <w:szCs w:val="22"/>
        </w:rPr>
        <w:t>Caddesi</w:t>
      </w:r>
      <w:proofErr w:type="spellEnd"/>
      <w:r w:rsidR="00406264" w:rsidRPr="006251C2">
        <w:rPr>
          <w:rFonts w:ascii="Times New Roman" w:hAnsi="Times New Roman"/>
          <w:b/>
          <w:bCs/>
          <w:i/>
          <w:iCs/>
          <w:color w:val="000000"/>
          <w:sz w:val="22"/>
          <w:szCs w:val="22"/>
        </w:rPr>
        <w:t xml:space="preserve"> No:310 Vize / </w:t>
      </w:r>
      <w:proofErr w:type="spellStart"/>
      <w:proofErr w:type="gramStart"/>
      <w:r w:rsidR="00406264" w:rsidRPr="006251C2">
        <w:rPr>
          <w:rFonts w:ascii="Times New Roman" w:hAnsi="Times New Roman"/>
          <w:b/>
          <w:bCs/>
          <w:i/>
          <w:iCs/>
          <w:color w:val="000000"/>
          <w:sz w:val="22"/>
          <w:szCs w:val="22"/>
        </w:rPr>
        <w:t>K</w:t>
      </w:r>
      <w:r w:rsidR="00406264">
        <w:rPr>
          <w:rFonts w:ascii="Times New Roman" w:hAnsi="Times New Roman"/>
          <w:b/>
          <w:bCs/>
          <w:i/>
          <w:iCs/>
          <w:color w:val="000000"/>
          <w:sz w:val="22"/>
          <w:szCs w:val="22"/>
        </w:rPr>
        <w:t>ı</w:t>
      </w:r>
      <w:r w:rsidR="00406264" w:rsidRPr="006251C2">
        <w:rPr>
          <w:rFonts w:ascii="Times New Roman" w:hAnsi="Times New Roman"/>
          <w:b/>
          <w:bCs/>
          <w:i/>
          <w:iCs/>
          <w:color w:val="000000"/>
          <w:sz w:val="22"/>
          <w:szCs w:val="22"/>
        </w:rPr>
        <w:t>rklareli</w:t>
      </w:r>
      <w:proofErr w:type="spellEnd"/>
      <w:r w:rsidR="00406264" w:rsidRPr="006251C2">
        <w:rPr>
          <w:rFonts w:ascii="Times New Roman" w:hAnsi="Times New Roman"/>
          <w:b/>
          <w:bCs/>
          <w:i/>
          <w:iCs/>
          <w:color w:val="000000"/>
          <w:sz w:val="22"/>
          <w:szCs w:val="22"/>
        </w:rPr>
        <w:t> </w:t>
      </w:r>
      <w:r w:rsidR="00406264">
        <w:rPr>
          <w:rFonts w:ascii="Times New Roman" w:hAnsi="Times New Roman"/>
          <w:b/>
          <w:bCs/>
          <w:i/>
          <w:iCs/>
          <w:color w:val="000000"/>
          <w:sz w:val="22"/>
          <w:szCs w:val="22"/>
        </w:rPr>
        <w:t xml:space="preserve"> </w:t>
      </w:r>
      <w:r w:rsidR="00406264" w:rsidRPr="008229B8">
        <w:rPr>
          <w:rFonts w:ascii="Times New Roman" w:hAnsi="Times New Roman"/>
          <w:b/>
          <w:bCs/>
          <w:i/>
          <w:iCs/>
          <w:sz w:val="22"/>
          <w:szCs w:val="22"/>
          <w:lang w:val="tr-TR" w:eastAsia="tr-TR"/>
        </w:rPr>
        <w:t>/</w:t>
      </w:r>
      <w:proofErr w:type="gramEnd"/>
      <w:r w:rsidR="00406264" w:rsidRPr="008229B8">
        <w:rPr>
          <w:rFonts w:ascii="Times New Roman" w:hAnsi="Times New Roman"/>
          <w:b/>
          <w:bCs/>
          <w:i/>
          <w:iCs/>
          <w:sz w:val="22"/>
          <w:szCs w:val="22"/>
          <w:lang w:val="tr-TR" w:eastAsia="tr-TR"/>
        </w:rPr>
        <w:t xml:space="preserve"> </w:t>
      </w:r>
      <w:proofErr w:type="spellStart"/>
      <w:r w:rsidR="00406264" w:rsidRPr="008229B8">
        <w:rPr>
          <w:rFonts w:ascii="Times New Roman" w:hAnsi="Times New Roman"/>
          <w:b/>
          <w:bCs/>
          <w:i/>
          <w:iCs/>
          <w:sz w:val="22"/>
          <w:szCs w:val="22"/>
          <w:lang w:val="tr-TR" w:eastAsia="tr-TR"/>
        </w:rPr>
        <w:t>Türkiye</w:t>
      </w:r>
      <w:proofErr w:type="spellEnd"/>
    </w:p>
    <w:bookmarkEnd w:id="25"/>
    <w:p w14:paraId="0A911D52" w14:textId="4C78E7AD" w:rsidR="0047783A" w:rsidRPr="003D6B6C" w:rsidRDefault="0047783A" w:rsidP="006B145B">
      <w:pPr>
        <w:ind w:left="1134" w:hanging="1134"/>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406264" w:rsidRPr="000212E4">
        <w:rPr>
          <w:rFonts w:ascii="Times New Roman" w:hAnsi="Times New Roman"/>
          <w:sz w:val="22"/>
          <w:szCs w:val="22"/>
        </w:rPr>
        <w:t xml:space="preserve">Each package must be marked according to its final destination and must be accompanied by a delivery note showing the contract reference number and </w:t>
      </w:r>
      <w:r w:rsidR="00406264">
        <w:rPr>
          <w:rFonts w:ascii="Times New Roman" w:hAnsi="Times New Roman"/>
          <w:sz w:val="22"/>
          <w:szCs w:val="22"/>
        </w:rPr>
        <w:t>name of the Contacting Authority</w:t>
      </w:r>
      <w:r w:rsidR="00406264" w:rsidRPr="000212E4">
        <w:rPr>
          <w:rFonts w:ascii="Times New Roman" w:hAnsi="Times New Roman"/>
          <w:sz w:val="22"/>
          <w:szCs w:val="22"/>
        </w:rPr>
        <w:t>. The delivery addresses as specified in the Technical Specifications.</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26"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6"/>
    </w:p>
    <w:p w14:paraId="38CCDEFD" w14:textId="470174D0" w:rsidR="0047783A" w:rsidRDefault="0047783A" w:rsidP="001B55AC">
      <w:pPr>
        <w:jc w:val="both"/>
        <w:rPr>
          <w:rFonts w:ascii="Times New Roman" w:hAnsi="Times New Roman"/>
          <w:sz w:val="22"/>
          <w:szCs w:val="22"/>
        </w:rPr>
      </w:pPr>
      <w:r w:rsidRPr="003D6B6C">
        <w:rPr>
          <w:rFonts w:ascii="Times New Roman" w:hAnsi="Times New Roman"/>
          <w:sz w:val="22"/>
          <w:szCs w:val="22"/>
        </w:rPr>
        <w:t xml:space="preserve">The </w:t>
      </w:r>
      <w:r w:rsidR="00F60098">
        <w:rPr>
          <w:rFonts w:ascii="Times New Roman" w:hAnsi="Times New Roman"/>
          <w:sz w:val="22"/>
          <w:szCs w:val="22"/>
        </w:rPr>
        <w:t>c</w:t>
      </w:r>
      <w:r w:rsidRPr="003D6B6C">
        <w:rPr>
          <w:rFonts w:ascii="Times New Roman" w:hAnsi="Times New Roman"/>
          <w:sz w:val="22"/>
          <w:szCs w:val="22"/>
        </w:rPr>
        <w:t xml:space="preserve">ertificate of </w:t>
      </w:r>
      <w:r w:rsidR="00F60098">
        <w:rPr>
          <w:rFonts w:ascii="Times New Roman" w:hAnsi="Times New Roman"/>
          <w:sz w:val="22"/>
          <w:szCs w:val="22"/>
        </w:rPr>
        <w:t>p</w:t>
      </w:r>
      <w:r w:rsidRPr="003D6B6C">
        <w:rPr>
          <w:rFonts w:ascii="Times New Roman" w:hAnsi="Times New Roman"/>
          <w:sz w:val="22"/>
          <w:szCs w:val="22"/>
        </w:rPr>
        <w:t xml:space="preserve">rovisional </w:t>
      </w:r>
      <w:r w:rsidR="00F60098">
        <w:rPr>
          <w:rFonts w:ascii="Times New Roman" w:hAnsi="Times New Roman"/>
          <w:sz w:val="22"/>
          <w:szCs w:val="22"/>
        </w:rPr>
        <w:t>a</w:t>
      </w:r>
      <w:r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Pr="003D6B6C">
        <w:rPr>
          <w:rFonts w:ascii="Times New Roman" w:hAnsi="Times New Roman"/>
          <w:sz w:val="22"/>
          <w:szCs w:val="22"/>
        </w:rPr>
        <w:t>C11.</w:t>
      </w:r>
    </w:p>
    <w:p w14:paraId="7A8C3AE2" w14:textId="77777777" w:rsidR="008A322F" w:rsidRDefault="008A322F" w:rsidP="008A322F">
      <w:pPr>
        <w:jc w:val="both"/>
        <w:rPr>
          <w:rFonts w:ascii="Times New Roman" w:hAnsi="Times New Roman"/>
          <w:sz w:val="22"/>
          <w:szCs w:val="22"/>
        </w:rPr>
      </w:pPr>
      <w:r w:rsidRPr="00C84004">
        <w:rPr>
          <w:rFonts w:ascii="Times New Roman" w:hAnsi="Times New Roman"/>
          <w:sz w:val="22"/>
          <w:szCs w:val="22"/>
        </w:rPr>
        <w:t xml:space="preserve">Without prejudice to Article 31 of the General Conditions, 25 of the Special Conditions, and the Technical Specifications, provisional acceptance shall be delivered by the Beneficiary within </w:t>
      </w:r>
      <w:r>
        <w:rPr>
          <w:rFonts w:ascii="Times New Roman" w:hAnsi="Times New Roman"/>
          <w:sz w:val="22"/>
          <w:szCs w:val="22"/>
        </w:rPr>
        <w:t>10</w:t>
      </w:r>
      <w:r w:rsidRPr="00C84004">
        <w:rPr>
          <w:rFonts w:ascii="Times New Roman" w:hAnsi="Times New Roman"/>
          <w:sz w:val="22"/>
          <w:szCs w:val="22"/>
        </w:rPr>
        <w:t xml:space="preserve"> calendar days upon the submission of the request for provisional acceptance by the Contractor after delivery</w:t>
      </w:r>
      <w:r>
        <w:rPr>
          <w:rFonts w:ascii="Times New Roman" w:hAnsi="Times New Roman"/>
          <w:sz w:val="22"/>
          <w:szCs w:val="22"/>
        </w:rPr>
        <w:t xml:space="preserve"> and </w:t>
      </w:r>
      <w:r w:rsidRPr="00C84004">
        <w:rPr>
          <w:rFonts w:ascii="Times New Roman" w:hAnsi="Times New Roman"/>
          <w:sz w:val="22"/>
          <w:szCs w:val="22"/>
        </w:rPr>
        <w:t xml:space="preserve">putting into operation, inspection and testing of all goods and training activities completed at the places shown </w:t>
      </w:r>
      <w:r>
        <w:rPr>
          <w:rFonts w:ascii="Times New Roman" w:hAnsi="Times New Roman"/>
          <w:sz w:val="22"/>
          <w:szCs w:val="22"/>
        </w:rPr>
        <w:t>in the Technical Specifications</w:t>
      </w:r>
    </w:p>
    <w:p w14:paraId="70BBEF07" w14:textId="77777777" w:rsidR="008A322F" w:rsidRPr="00071877" w:rsidRDefault="008A322F" w:rsidP="008A322F">
      <w:pPr>
        <w:ind w:left="1134" w:hanging="708"/>
        <w:jc w:val="both"/>
        <w:rPr>
          <w:rFonts w:ascii="Times New Roman" w:hAnsi="Times New Roman"/>
          <w:sz w:val="22"/>
          <w:szCs w:val="22"/>
        </w:rPr>
      </w:pPr>
      <w:r w:rsidRPr="00071877">
        <w:rPr>
          <w:rFonts w:ascii="Times New Roman" w:hAnsi="Times New Roman"/>
          <w:sz w:val="22"/>
          <w:szCs w:val="22"/>
        </w:rPr>
        <w:t>31.2.</w:t>
      </w:r>
      <w:r w:rsidRPr="00071877">
        <w:rPr>
          <w:rFonts w:ascii="Times New Roman" w:hAnsi="Times New Roman"/>
          <w:sz w:val="22"/>
          <w:szCs w:val="22"/>
        </w:rPr>
        <w:tab/>
        <w:t>By derogation, the contractor may apply, by notice to the project manager, for a certificate of provisional acceptance when supplies are ready for provisional acceptance. The project manager shall within 45 days of receipt of the contractor's application either:</w:t>
      </w:r>
    </w:p>
    <w:p w14:paraId="74CDD45A" w14:textId="77777777" w:rsidR="008A322F" w:rsidRPr="00071877" w:rsidRDefault="008A322F" w:rsidP="008A322F">
      <w:pPr>
        <w:widowControl w:val="0"/>
        <w:numPr>
          <w:ilvl w:val="0"/>
          <w:numId w:val="19"/>
        </w:numPr>
        <w:tabs>
          <w:tab w:val="left" w:pos="1560"/>
        </w:tabs>
        <w:spacing w:before="0" w:after="0"/>
        <w:ind w:left="1560"/>
        <w:jc w:val="both"/>
        <w:rPr>
          <w:rFonts w:ascii="Times New Roman" w:hAnsi="Times New Roman"/>
          <w:sz w:val="22"/>
          <w:szCs w:val="22"/>
        </w:rPr>
      </w:pPr>
      <w:r w:rsidRPr="00071877">
        <w:rPr>
          <w:rFonts w:ascii="Times New Roman" w:hAnsi="Times New Roman"/>
          <w:sz w:val="22"/>
          <w:szCs w:val="22"/>
        </w:rPr>
        <w:t>issue the certificate of provisional acceptance to the contractor with a copy to the contracting authority stating, where appropriate, his reservations, and, inter alia, the date on which, in his opinion, the supplies were completed in accordance with the contract and ready for provisional acceptance; or</w:t>
      </w:r>
    </w:p>
    <w:p w14:paraId="175887CB" w14:textId="77777777" w:rsidR="008A322F" w:rsidRPr="00071877" w:rsidRDefault="008A322F" w:rsidP="008A322F">
      <w:pPr>
        <w:widowControl w:val="0"/>
        <w:numPr>
          <w:ilvl w:val="0"/>
          <w:numId w:val="19"/>
        </w:numPr>
        <w:tabs>
          <w:tab w:val="left" w:pos="1560"/>
        </w:tabs>
        <w:ind w:left="1560"/>
        <w:jc w:val="both"/>
        <w:rPr>
          <w:rFonts w:ascii="Times New Roman" w:hAnsi="Times New Roman"/>
          <w:sz w:val="22"/>
          <w:szCs w:val="22"/>
        </w:rPr>
      </w:pPr>
      <w:r w:rsidRPr="00071877">
        <w:rPr>
          <w:rFonts w:ascii="Times New Roman" w:hAnsi="Times New Roman"/>
          <w:sz w:val="22"/>
          <w:szCs w:val="22"/>
        </w:rPr>
        <w:t>reject the application, giving his reasons and specifying the action which, in his opinion, is required of the contractor for the certificate to be issued.</w:t>
      </w:r>
    </w:p>
    <w:p w14:paraId="2E4DD25E" w14:textId="2DF796D9" w:rsidR="008A322F" w:rsidRPr="003D6B6C" w:rsidRDefault="008A322F" w:rsidP="008A322F">
      <w:pPr>
        <w:widowControl w:val="0"/>
        <w:tabs>
          <w:tab w:val="left" w:pos="1560"/>
        </w:tabs>
        <w:ind w:left="1200"/>
        <w:jc w:val="both"/>
        <w:rPr>
          <w:rFonts w:ascii="Times New Roman" w:hAnsi="Times New Roman"/>
          <w:sz w:val="22"/>
          <w:szCs w:val="22"/>
        </w:rPr>
      </w:pPr>
      <w:r w:rsidRPr="00071877">
        <w:rPr>
          <w:rFonts w:ascii="Times New Roman" w:hAnsi="Times New Roman"/>
          <w:sz w:val="22"/>
          <w:szCs w:val="22"/>
        </w:rPr>
        <w:t>The contracting authority’s time limit for issuing the certificate of provisional acceptance to the contractor shall not be considered included in the time limit for payments indicated in Article 26.3.</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7"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7"/>
      <w:r w:rsidR="00177A94" w:rsidRPr="003D6B6C">
        <w:rPr>
          <w:rFonts w:ascii="Times New Roman" w:hAnsi="Times New Roman"/>
          <w:b/>
          <w:sz w:val="24"/>
          <w:szCs w:val="24"/>
        </w:rPr>
        <w:t xml:space="preserve"> obligations</w:t>
      </w:r>
    </w:p>
    <w:p w14:paraId="1F6FC265" w14:textId="23A67460" w:rsidR="004F6E90" w:rsidRPr="004F6E90" w:rsidRDefault="00177A94" w:rsidP="004F6E90">
      <w:pPr>
        <w:ind w:left="1134" w:hanging="708"/>
        <w:jc w:val="both"/>
        <w:rPr>
          <w:rFonts w:ascii="Times New Roman" w:hAnsi="Times New Roman"/>
          <w:sz w:val="22"/>
          <w:szCs w:val="22"/>
        </w:rPr>
      </w:pPr>
      <w:r w:rsidRPr="003D6B6C">
        <w:rPr>
          <w:rFonts w:ascii="Times New Roman" w:hAnsi="Times New Roman"/>
          <w:sz w:val="22"/>
          <w:szCs w:val="22"/>
        </w:rPr>
        <w:t>32.6</w:t>
      </w:r>
      <w:r w:rsidR="004F6E90">
        <w:rPr>
          <w:rFonts w:ascii="Times New Roman" w:hAnsi="Times New Roman"/>
          <w:sz w:val="22"/>
          <w:szCs w:val="22"/>
        </w:rPr>
        <w:t xml:space="preserve">    </w:t>
      </w:r>
      <w:r w:rsidR="004F6E90" w:rsidRPr="00BD5E2B">
        <w:rPr>
          <w:rFonts w:ascii="Times New Roman" w:hAnsi="Times New Roman"/>
          <w:sz w:val="22"/>
          <w:szCs w:val="22"/>
          <w:lang w:val="en-US"/>
        </w:rPr>
        <w:t xml:space="preserve">The Contractor shall submit with his technical offer a methodology for the equipment warranty service </w:t>
      </w:r>
      <w:r w:rsidR="004F6E90" w:rsidRPr="005852F6">
        <w:rPr>
          <w:rFonts w:ascii="Times New Roman" w:hAnsi="Times New Roman"/>
          <w:sz w:val="22"/>
          <w:szCs w:val="22"/>
          <w:lang w:val="en-US"/>
        </w:rPr>
        <w:t xml:space="preserve">for a period of </w:t>
      </w:r>
      <w:r w:rsidR="004F6E90" w:rsidRPr="005852F6">
        <w:rPr>
          <w:rFonts w:ascii="Times New Roman" w:hAnsi="Times New Roman"/>
          <w:b/>
          <w:bCs/>
          <w:sz w:val="22"/>
          <w:szCs w:val="22"/>
          <w:lang w:val="en-US"/>
        </w:rPr>
        <w:t xml:space="preserve">2 years </w:t>
      </w:r>
      <w:r w:rsidR="004F6E90" w:rsidRPr="005852F6">
        <w:rPr>
          <w:rFonts w:ascii="Times New Roman" w:hAnsi="Times New Roman"/>
          <w:sz w:val="22"/>
          <w:szCs w:val="22"/>
          <w:lang w:val="en-US"/>
        </w:rPr>
        <w:t>after provisional acceptance</w:t>
      </w:r>
      <w:r w:rsidR="004F6E90" w:rsidRPr="00BD5E2B">
        <w:rPr>
          <w:rFonts w:ascii="Times New Roman" w:hAnsi="Times New Roman"/>
          <w:sz w:val="22"/>
          <w:szCs w:val="22"/>
          <w:lang w:val="en-US"/>
        </w:rPr>
        <w:t>. During the warranty period, the service of the products will be assured by the Contractor through local company(</w:t>
      </w:r>
      <w:proofErr w:type="spellStart"/>
      <w:r w:rsidR="004F6E90" w:rsidRPr="00BD5E2B">
        <w:rPr>
          <w:rFonts w:ascii="Times New Roman" w:hAnsi="Times New Roman"/>
          <w:sz w:val="22"/>
          <w:szCs w:val="22"/>
          <w:lang w:val="en-US"/>
        </w:rPr>
        <w:t>ies</w:t>
      </w:r>
      <w:proofErr w:type="spellEnd"/>
      <w:r w:rsidR="004F6E90" w:rsidRPr="00BD5E2B">
        <w:rPr>
          <w:rFonts w:ascii="Times New Roman" w:hAnsi="Times New Roman"/>
          <w:sz w:val="22"/>
          <w:szCs w:val="22"/>
          <w:lang w:val="en-US"/>
        </w:rPr>
        <w:t xml:space="preserve">) authorized by him (if the Contractor is not a local company) or </w:t>
      </w:r>
      <w:r w:rsidR="004F6E90" w:rsidRPr="00BD5E2B">
        <w:rPr>
          <w:rFonts w:ascii="Times New Roman" w:hAnsi="Times New Roman"/>
          <w:sz w:val="22"/>
          <w:szCs w:val="22"/>
          <w:lang w:val="en-US"/>
        </w:rPr>
        <w:lastRenderedPageBreak/>
        <w:t>directly (if it is a local company). In both cases, the authorized service(s) should be authorized by the manufacturer.</w:t>
      </w:r>
    </w:p>
    <w:p w14:paraId="7DCD88BB" w14:textId="170F5BEF" w:rsidR="004F6E90" w:rsidRDefault="004F6E90" w:rsidP="004F6E90">
      <w:pPr>
        <w:spacing w:before="240"/>
        <w:ind w:left="1134"/>
        <w:jc w:val="both"/>
        <w:rPr>
          <w:rFonts w:ascii="Times New Roman" w:hAnsi="Times New Roman"/>
          <w:bCs/>
          <w:sz w:val="22"/>
          <w:szCs w:val="22"/>
          <w:lang w:val="en-US"/>
        </w:rPr>
      </w:pPr>
      <w:r w:rsidRPr="00BD5E2B">
        <w:rPr>
          <w:rFonts w:ascii="Times New Roman" w:hAnsi="Times New Roman"/>
          <w:sz w:val="22"/>
          <w:szCs w:val="22"/>
          <w:lang w:val="en-US"/>
        </w:rPr>
        <w:t xml:space="preserve">The Contractor shall at his own cost replace defective or damaged equipment/parts during the warranty period. The Contractor has to troubleshoot the problem within </w:t>
      </w:r>
      <w:r w:rsidR="00CB228C">
        <w:rPr>
          <w:rFonts w:ascii="Times New Roman" w:hAnsi="Times New Roman"/>
          <w:sz w:val="22"/>
          <w:szCs w:val="22"/>
          <w:lang w:val="en-US"/>
        </w:rPr>
        <w:t>24 hours /1/</w:t>
      </w:r>
      <w:r w:rsidRPr="00BD5E2B">
        <w:rPr>
          <w:rFonts w:ascii="Times New Roman" w:hAnsi="Times New Roman"/>
          <w:sz w:val="22"/>
          <w:szCs w:val="22"/>
          <w:lang w:val="en-US"/>
        </w:rPr>
        <w:t xml:space="preserve"> working day of the request, overcome the problem and re-integrate to the system within maximum </w:t>
      </w:r>
      <w:r w:rsidR="00CB228C">
        <w:rPr>
          <w:rFonts w:ascii="Times New Roman" w:hAnsi="Times New Roman"/>
          <w:sz w:val="22"/>
          <w:szCs w:val="22"/>
          <w:lang w:val="en-US"/>
        </w:rPr>
        <w:t>2 (two)</w:t>
      </w:r>
      <w:r w:rsidRPr="00BD5E2B">
        <w:rPr>
          <w:rFonts w:ascii="Times New Roman" w:hAnsi="Times New Roman"/>
          <w:sz w:val="22"/>
          <w:szCs w:val="22"/>
          <w:lang w:val="en-US"/>
        </w:rPr>
        <w:t xml:space="preserve"> working days from the call of service. If the reparation of broken equipment/part is not possible, Contractor shall replace that equipment/part with another equipment/part. No additional cost will be </w:t>
      </w:r>
      <w:r>
        <w:rPr>
          <w:rFonts w:ascii="Times New Roman" w:hAnsi="Times New Roman"/>
          <w:sz w:val="22"/>
          <w:szCs w:val="22"/>
          <w:lang w:val="en-US"/>
        </w:rPr>
        <w:t>issued</w:t>
      </w:r>
      <w:r w:rsidRPr="00BD5E2B">
        <w:rPr>
          <w:rFonts w:ascii="Times New Roman" w:hAnsi="Times New Roman"/>
          <w:sz w:val="22"/>
          <w:szCs w:val="22"/>
          <w:lang w:val="en-US"/>
        </w:rPr>
        <w:t xml:space="preserve"> by the Contracting Authority </w:t>
      </w:r>
      <w:r>
        <w:rPr>
          <w:rFonts w:ascii="Times New Roman" w:hAnsi="Times New Roman"/>
          <w:sz w:val="22"/>
          <w:szCs w:val="22"/>
          <w:lang w:val="en-US"/>
        </w:rPr>
        <w:t>within the warranty period</w:t>
      </w:r>
      <w:r w:rsidRPr="00BD5E2B">
        <w:rPr>
          <w:rFonts w:ascii="Times New Roman" w:hAnsi="Times New Roman"/>
          <w:bCs/>
          <w:sz w:val="22"/>
          <w:szCs w:val="22"/>
          <w:lang w:val="en-US"/>
        </w:rPr>
        <w:t>.</w:t>
      </w:r>
      <w:r>
        <w:rPr>
          <w:rFonts w:ascii="Times New Roman" w:hAnsi="Times New Roman"/>
          <w:bCs/>
          <w:sz w:val="22"/>
          <w:szCs w:val="22"/>
          <w:lang w:val="en-US"/>
        </w:rPr>
        <w:t xml:space="preserve"> </w:t>
      </w:r>
      <w:r w:rsidRPr="00BD5E2B">
        <w:rPr>
          <w:rFonts w:ascii="Times New Roman" w:hAnsi="Times New Roman"/>
          <w:bCs/>
          <w:sz w:val="22"/>
          <w:szCs w:val="22"/>
          <w:lang w:val="en-US"/>
        </w:rPr>
        <w:t xml:space="preserve">In case a preventive maintenance session has to be executed then the Contractor shall inform the </w:t>
      </w:r>
      <w:r>
        <w:rPr>
          <w:rFonts w:ascii="Times New Roman" w:hAnsi="Times New Roman"/>
          <w:bCs/>
          <w:sz w:val="22"/>
          <w:szCs w:val="22"/>
          <w:lang w:val="en-US"/>
        </w:rPr>
        <w:t>Contracting authority</w:t>
      </w:r>
      <w:r w:rsidRPr="00BD5E2B">
        <w:rPr>
          <w:rFonts w:ascii="Times New Roman" w:hAnsi="Times New Roman"/>
          <w:sz w:val="22"/>
          <w:szCs w:val="22"/>
          <w:lang w:val="en-US"/>
        </w:rPr>
        <w:t xml:space="preserve"> </w:t>
      </w:r>
      <w:r w:rsidRPr="00BD5E2B">
        <w:rPr>
          <w:rFonts w:ascii="Times New Roman" w:hAnsi="Times New Roman"/>
          <w:bCs/>
          <w:sz w:val="22"/>
          <w:szCs w:val="22"/>
          <w:lang w:val="en-US"/>
        </w:rPr>
        <w:t>at least 48 hours in advance of his intervention.</w:t>
      </w:r>
    </w:p>
    <w:p w14:paraId="640B4555" w14:textId="0E85C9A4" w:rsidR="004F6E90" w:rsidRPr="004F6E90" w:rsidRDefault="004F6E90" w:rsidP="004F6E90">
      <w:pPr>
        <w:spacing w:before="240"/>
        <w:ind w:left="1134"/>
        <w:jc w:val="both"/>
        <w:rPr>
          <w:rFonts w:ascii="Times New Roman" w:hAnsi="Times New Roman"/>
          <w:sz w:val="22"/>
          <w:szCs w:val="22"/>
          <w:lang w:val="en-US"/>
        </w:rPr>
      </w:pPr>
      <w:r w:rsidRPr="00BD5E2B">
        <w:rPr>
          <w:rFonts w:ascii="Times New Roman" w:hAnsi="Times New Roman"/>
          <w:sz w:val="22"/>
          <w:szCs w:val="22"/>
          <w:lang w:val="en-US"/>
        </w:rPr>
        <w:t>The Contractor shall remain fully responsible for all warranty obligations even when some of the equipment is obtained from a third party.</w:t>
      </w:r>
    </w:p>
    <w:p w14:paraId="37500E69" w14:textId="3187ECAC" w:rsidR="002A0259" w:rsidRDefault="002A0259" w:rsidP="002A0259">
      <w:pPr>
        <w:spacing w:before="240"/>
        <w:ind w:left="1134" w:hanging="1134"/>
        <w:jc w:val="both"/>
        <w:rPr>
          <w:rFonts w:ascii="Times New Roman" w:hAnsi="Times New Roman"/>
          <w:sz w:val="22"/>
          <w:szCs w:val="22"/>
          <w:lang w:val="en-US"/>
        </w:rPr>
      </w:pPr>
      <w:r>
        <w:rPr>
          <w:rFonts w:ascii="Times New Roman" w:hAnsi="Times New Roman"/>
          <w:sz w:val="22"/>
          <w:szCs w:val="22"/>
        </w:rPr>
        <w:t xml:space="preserve">       </w:t>
      </w:r>
      <w:r w:rsidR="00DF7EE0" w:rsidRPr="003D6B6C">
        <w:rPr>
          <w:rFonts w:ascii="Times New Roman" w:hAnsi="Times New Roman"/>
          <w:sz w:val="22"/>
          <w:szCs w:val="22"/>
        </w:rPr>
        <w:t>32.7</w:t>
      </w:r>
      <w:r>
        <w:rPr>
          <w:rFonts w:ascii="Times New Roman" w:hAnsi="Times New Roman"/>
          <w:sz w:val="22"/>
          <w:szCs w:val="22"/>
        </w:rPr>
        <w:t xml:space="preserve">      </w:t>
      </w:r>
      <w:r w:rsidR="00DF7EE0" w:rsidRPr="003D6B6C">
        <w:rPr>
          <w:rFonts w:ascii="Times New Roman" w:hAnsi="Times New Roman"/>
          <w:sz w:val="22"/>
          <w:szCs w:val="22"/>
        </w:rPr>
        <w:t xml:space="preserve">The warranty must remain valid for </w:t>
      </w:r>
      <w:r w:rsidRPr="00B40686">
        <w:rPr>
          <w:rFonts w:ascii="Times New Roman" w:hAnsi="Times New Roman"/>
          <w:sz w:val="22"/>
          <w:szCs w:val="22"/>
          <w:lang w:val="en-US"/>
        </w:rPr>
        <w:t>2 years after provisional acceptance.</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8" w:name="_Toc119839451"/>
      <w:bookmarkStart w:id="29"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8"/>
      <w:bookmarkEnd w:id="29"/>
    </w:p>
    <w:p w14:paraId="20722496" w14:textId="77777777" w:rsidR="00CB228C" w:rsidRDefault="00177A94" w:rsidP="00CB228C">
      <w:pPr>
        <w:shd w:val="clear" w:color="auto" w:fill="FFFFFF"/>
        <w:spacing w:before="0" w:after="0"/>
        <w:jc w:val="both"/>
        <w:rPr>
          <w:rFonts w:ascii="Times New Roman" w:hAnsi="Times New Roman"/>
          <w:sz w:val="22"/>
          <w:szCs w:val="22"/>
        </w:rPr>
      </w:pPr>
      <w:bookmarkStart w:id="30" w:name="_Hlk212574662"/>
      <w:r w:rsidRPr="003D6B6C">
        <w:rPr>
          <w:rFonts w:ascii="Times New Roman" w:hAnsi="Times New Roman"/>
          <w:sz w:val="22"/>
          <w:szCs w:val="22"/>
        </w:rPr>
        <w:t>33.1</w:t>
      </w:r>
      <w:r w:rsidR="004F6E90">
        <w:rPr>
          <w:rFonts w:ascii="Times New Roman" w:hAnsi="Times New Roman"/>
          <w:sz w:val="22"/>
          <w:szCs w:val="22"/>
        </w:rPr>
        <w:t xml:space="preserve">.     </w:t>
      </w:r>
      <w:r w:rsidR="00CB228C" w:rsidRPr="00CB228C">
        <w:rPr>
          <w:rFonts w:ascii="Times New Roman" w:hAnsi="Times New Roman"/>
          <w:sz w:val="22"/>
          <w:szCs w:val="22"/>
        </w:rPr>
        <w:t>The manufacturer shall provide a minimum 10-year guarantee for the availability of spare parts for the supplied system and shall ensure the provision of maintenance and repair service within 24 hours upon notification of malfunction</w:t>
      </w:r>
      <w:r w:rsidR="00CB228C" w:rsidRPr="00284F5C">
        <w:rPr>
          <w:rFonts w:ascii="Times New Roman" w:hAnsi="Times New Roman"/>
          <w:sz w:val="22"/>
          <w:szCs w:val="22"/>
        </w:rPr>
        <w:t>.</w:t>
      </w:r>
    </w:p>
    <w:p w14:paraId="362B5032" w14:textId="4D8ECF36" w:rsidR="004F6E90" w:rsidRPr="00151CC8" w:rsidRDefault="0047783A" w:rsidP="00151CC8">
      <w:pPr>
        <w:spacing w:before="240"/>
        <w:ind w:left="1134" w:hanging="1134"/>
        <w:jc w:val="both"/>
        <w:rPr>
          <w:rFonts w:ascii="Times New Roman" w:hAnsi="Times New Roman"/>
          <w:b/>
          <w:sz w:val="24"/>
          <w:szCs w:val="24"/>
        </w:rPr>
      </w:pPr>
      <w:bookmarkStart w:id="31" w:name="_Toc124934917"/>
      <w:bookmarkEnd w:id="30"/>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31"/>
    </w:p>
    <w:p w14:paraId="0F81555E" w14:textId="64304E5B" w:rsidR="0047783A" w:rsidRPr="003D6B6C" w:rsidRDefault="0047783A" w:rsidP="004F6E90">
      <w:pPr>
        <w:spacing w:before="0"/>
        <w:ind w:left="1134" w:hanging="708"/>
        <w:jc w:val="both"/>
        <w:rPr>
          <w:rFonts w:ascii="Times New Roman" w:hAnsi="Times New Roman"/>
          <w:sz w:val="22"/>
          <w:szCs w:val="22"/>
          <w:lang w:bidi="kn-IN"/>
        </w:rPr>
      </w:pPr>
      <w:r w:rsidRPr="003D6B6C">
        <w:rPr>
          <w:rFonts w:ascii="Times New Roman" w:hAnsi="Times New Roman"/>
          <w:sz w:val="22"/>
          <w:szCs w:val="22"/>
        </w:rPr>
        <w:t>40.</w:t>
      </w:r>
      <w:r w:rsidR="00D83918" w:rsidRPr="003D6B6C">
        <w:rPr>
          <w:rFonts w:ascii="Times New Roman" w:hAnsi="Times New Roman"/>
          <w:sz w:val="22"/>
          <w:szCs w:val="22"/>
        </w:rPr>
        <w:t>4</w:t>
      </w:r>
      <w:r w:rsidR="004F6E90">
        <w:rPr>
          <w:rFonts w:ascii="Times New Roman" w:hAnsi="Times New Roman"/>
          <w:sz w:val="22"/>
          <w:szCs w:val="22"/>
        </w:rPr>
        <w:t>.    Any disputes arising out of or relating to this contract which cannot be settled otherwise shall be referred to the exclusive jurisdiction of</w:t>
      </w:r>
      <w:r w:rsidR="00151CC8">
        <w:rPr>
          <w:rFonts w:ascii="Times New Roman" w:hAnsi="Times New Roman"/>
          <w:sz w:val="22"/>
          <w:szCs w:val="22"/>
        </w:rPr>
        <w:t xml:space="preserve"> Republic of</w:t>
      </w:r>
      <w:r w:rsidR="004F6E90">
        <w:rPr>
          <w:rFonts w:ascii="Times New Roman" w:hAnsi="Times New Roman"/>
          <w:sz w:val="22"/>
          <w:szCs w:val="22"/>
        </w:rPr>
        <w:t xml:space="preserve"> </w:t>
      </w:r>
      <w:r w:rsidR="00151CC8">
        <w:rPr>
          <w:rFonts w:ascii="Times New Roman" w:hAnsi="Times New Roman"/>
          <w:sz w:val="22"/>
          <w:szCs w:val="22"/>
        </w:rPr>
        <w:t>Türkiye</w:t>
      </w:r>
      <w:r w:rsidR="004F6E90">
        <w:rPr>
          <w:rFonts w:ascii="Times New Roman" w:hAnsi="Times New Roman"/>
          <w:sz w:val="22"/>
          <w:szCs w:val="22"/>
        </w:rPr>
        <w:t xml:space="preserve"> in accordance with the national legislation of the state of the contracting authority.</w:t>
      </w:r>
      <w:r w:rsidR="007659A5">
        <w:rPr>
          <w:rFonts w:ascii="Times New Roman" w:hAnsi="Times New Roman"/>
          <w:sz w:val="22"/>
          <w:szCs w:val="22"/>
        </w:rPr>
        <w:t xml:space="preserve"> </w:t>
      </w:r>
      <w:bookmarkStart w:id="32" w:name="_Hlk212574737"/>
      <w:r w:rsidR="003C32D6" w:rsidRPr="003C32D6">
        <w:rPr>
          <w:rFonts w:ascii="Times New Roman" w:hAnsi="Times New Roman"/>
          <w:sz w:val="22"/>
          <w:szCs w:val="22"/>
        </w:rPr>
        <w:t>In the absence of a provision in the contract, the provisions of the Turkish Commercial Code regarding commercial sales contracts shall apply. If no provision is found there either, Article 187 of the Turkish Code of Obligations shall apply.</w:t>
      </w:r>
    </w:p>
    <w:bookmarkEnd w:id="32"/>
    <w:p w14:paraId="53F35545" w14:textId="1C0D7E49" w:rsidR="00407C90" w:rsidRPr="004F6E90" w:rsidRDefault="00407C90" w:rsidP="00B5440B">
      <w:pPr>
        <w:keepNext/>
        <w:keepLines/>
        <w:tabs>
          <w:tab w:val="left" w:pos="1134"/>
        </w:tabs>
        <w:spacing w:before="240" w:after="0"/>
        <w:ind w:left="1134" w:hanging="1134"/>
        <w:rPr>
          <w:rFonts w:ascii="Times New Roman" w:hAnsi="Times New Roman"/>
          <w:b/>
          <w:sz w:val="24"/>
          <w:szCs w:val="24"/>
        </w:rPr>
      </w:pPr>
      <w:r w:rsidRPr="004F6E90">
        <w:rPr>
          <w:rFonts w:ascii="Times New Roman" w:hAnsi="Times New Roman"/>
          <w:b/>
          <w:sz w:val="24"/>
          <w:szCs w:val="24"/>
        </w:rPr>
        <w:t>Article 44</w:t>
      </w:r>
      <w:r w:rsidRPr="004F6E90">
        <w:rPr>
          <w:rFonts w:ascii="Times New Roman" w:hAnsi="Times New Roman"/>
          <w:b/>
          <w:sz w:val="24"/>
          <w:szCs w:val="24"/>
        </w:rPr>
        <w:tab/>
        <w:t xml:space="preserve">Data </w:t>
      </w:r>
      <w:r w:rsidR="00686E07" w:rsidRPr="004F6E90">
        <w:rPr>
          <w:rFonts w:ascii="Times New Roman" w:hAnsi="Times New Roman"/>
          <w:b/>
          <w:sz w:val="24"/>
          <w:szCs w:val="24"/>
        </w:rPr>
        <w:t>p</w:t>
      </w:r>
      <w:r w:rsidRPr="004F6E90">
        <w:rPr>
          <w:rFonts w:ascii="Times New Roman" w:hAnsi="Times New Roman"/>
          <w:b/>
          <w:sz w:val="24"/>
          <w:szCs w:val="24"/>
        </w:rPr>
        <w:t>rotection</w:t>
      </w:r>
    </w:p>
    <w:p w14:paraId="21A6D968" w14:textId="0730BF23" w:rsidR="00C05EBE" w:rsidRDefault="00C05EBE" w:rsidP="00E63DBE">
      <w:pPr>
        <w:ind w:left="1134"/>
        <w:jc w:val="both"/>
        <w:rPr>
          <w:rFonts w:ascii="Times New Roman" w:hAnsi="Times New Roman"/>
          <w:sz w:val="22"/>
          <w:szCs w:val="22"/>
          <w:highlight w:val="lightGray"/>
        </w:rPr>
      </w:pPr>
      <w:r w:rsidRPr="00B5440B">
        <w:rPr>
          <w:rFonts w:ascii="Times New Roman" w:hAnsi="Times New Roman"/>
          <w:sz w:val="22"/>
          <w:szCs w:val="22"/>
        </w:rPr>
        <w:t>For the purpose of</w:t>
      </w:r>
      <w:r w:rsidRPr="00B5440B">
        <w:rPr>
          <w:rFonts w:ascii="Times New Roman" w:hAnsi="Times New Roman"/>
          <w:color w:val="0000FF"/>
          <w:sz w:val="22"/>
          <w:szCs w:val="22"/>
          <w:u w:val="single"/>
        </w:rPr>
        <w:t xml:space="preserve"> </w:t>
      </w:r>
      <w:r w:rsidRPr="00B5440B">
        <w:rPr>
          <w:rFonts w:ascii="Times New Roman" w:hAnsi="Times New Roman"/>
          <w:sz w:val="22"/>
          <w:szCs w:val="22"/>
          <w:lang w:eastAsia="en-GB"/>
        </w:rPr>
        <w:t xml:space="preserve">Article 44 of the </w:t>
      </w:r>
      <w:r w:rsidRPr="004F6E90">
        <w:rPr>
          <w:rFonts w:ascii="Times New Roman" w:hAnsi="Times New Roman"/>
          <w:sz w:val="22"/>
          <w:szCs w:val="22"/>
        </w:rPr>
        <w:t>general conditions, for the part of the data transferred by the contracting authority to the European Commission:</w:t>
      </w:r>
    </w:p>
    <w:p w14:paraId="7EE57030" w14:textId="733AFEB6" w:rsidR="00C05EBE" w:rsidRDefault="00C05EBE" w:rsidP="004F6E90">
      <w:pPr>
        <w:ind w:left="426"/>
        <w:jc w:val="both"/>
        <w:rPr>
          <w:rFonts w:ascii="Times New Roman" w:hAnsi="Times New Roman"/>
          <w:sz w:val="22"/>
          <w:szCs w:val="22"/>
        </w:rPr>
      </w:pPr>
      <w:r w:rsidRPr="004F6E90">
        <w:rPr>
          <w:rFonts w:ascii="Times New Roman" w:hAnsi="Times New Roman"/>
          <w:sz w:val="22"/>
          <w:szCs w:val="22"/>
        </w:rPr>
        <w:t>(a)</w:t>
      </w:r>
      <w:r w:rsidR="005A123C" w:rsidRPr="004F6E90">
        <w:rPr>
          <w:rFonts w:ascii="Times New Roman" w:hAnsi="Times New Roman"/>
          <w:sz w:val="22"/>
          <w:szCs w:val="22"/>
        </w:rPr>
        <w:tab/>
      </w:r>
      <w:r w:rsidRPr="004F6E90">
        <w:rPr>
          <w:rFonts w:ascii="Times New Roman" w:hAnsi="Times New Roman"/>
          <w:sz w:val="22"/>
          <w:szCs w:val="22"/>
        </w:rPr>
        <w:t>the controller for the processing of personal data carried out within the Commission is</w:t>
      </w:r>
    </w:p>
    <w:p w14:paraId="7538744C" w14:textId="77777777" w:rsidR="004F6E90" w:rsidRPr="00C353E3" w:rsidRDefault="004F6E90" w:rsidP="004F6E90">
      <w:pPr>
        <w:ind w:left="709"/>
        <w:jc w:val="both"/>
        <w:rPr>
          <w:rFonts w:ascii="Times New Roman" w:hAnsi="Times New Roman"/>
          <w:sz w:val="22"/>
          <w:szCs w:val="22"/>
        </w:rPr>
      </w:pPr>
      <w:r w:rsidRPr="00C353E3">
        <w:rPr>
          <w:rFonts w:ascii="Times New Roman" w:hAnsi="Times New Roman"/>
          <w:sz w:val="22"/>
          <w:szCs w:val="22"/>
        </w:rPr>
        <w:t>For DG INTPA the head of legal affairs unit of DG International Partnerships.</w:t>
      </w:r>
    </w:p>
    <w:p w14:paraId="05DC731B" w14:textId="394A831B" w:rsidR="004F6E90" w:rsidRPr="00B5440B" w:rsidRDefault="004F6E90" w:rsidP="004F6E90">
      <w:pPr>
        <w:ind w:left="709"/>
        <w:jc w:val="both"/>
        <w:rPr>
          <w:rFonts w:ascii="Times New Roman" w:hAnsi="Times New Roman"/>
          <w:sz w:val="22"/>
          <w:szCs w:val="22"/>
        </w:rPr>
      </w:pPr>
      <w:r w:rsidRPr="00C353E3">
        <w:rPr>
          <w:rFonts w:ascii="Times New Roman" w:hAnsi="Times New Roman"/>
          <w:sz w:val="22"/>
          <w:szCs w:val="22"/>
        </w:rPr>
        <w:t>For DG NEAR the head of contracts and finance unit R4 of DG Neighbourhood and Enlargement Negotiations</w:t>
      </w:r>
    </w:p>
    <w:p w14:paraId="4CB26B0B" w14:textId="16155D9D" w:rsidR="00C05EBE" w:rsidRPr="0051770F" w:rsidRDefault="00C05EBE" w:rsidP="00B5440B">
      <w:pPr>
        <w:spacing w:before="100" w:beforeAutospacing="1" w:after="100" w:afterAutospacing="1"/>
        <w:ind w:left="709" w:hanging="425"/>
        <w:rPr>
          <w:rFonts w:ascii="Times New Roman" w:hAnsi="Times New Roman"/>
          <w:color w:val="0563C1"/>
          <w:sz w:val="22"/>
          <w:szCs w:val="22"/>
          <w:u w:val="single"/>
          <w:lang w:val="sv-SE"/>
        </w:rPr>
      </w:pPr>
      <w:r w:rsidRPr="00B5440B">
        <w:rPr>
          <w:rFonts w:ascii="Times New Roman" w:hAnsi="Times New Roman"/>
          <w:sz w:val="22"/>
          <w:szCs w:val="22"/>
        </w:rPr>
        <w:t>(b)</w:t>
      </w:r>
      <w:r w:rsidR="005A123C" w:rsidRPr="00B5440B">
        <w:rPr>
          <w:rFonts w:ascii="Times New Roman" w:hAnsi="Times New Roman"/>
          <w:sz w:val="22"/>
          <w:szCs w:val="22"/>
        </w:rPr>
        <w:tab/>
      </w:r>
      <w:r w:rsidRPr="00B5440B">
        <w:rPr>
          <w:rFonts w:ascii="Times New Roman" w:hAnsi="Times New Roman"/>
          <w:sz w:val="22"/>
          <w:szCs w:val="22"/>
          <w:lang w:eastAsia="en-GB"/>
        </w:rPr>
        <w:t xml:space="preserve">the </w:t>
      </w:r>
      <w:r w:rsidR="00830347" w:rsidRPr="00830347">
        <w:rPr>
          <w:rFonts w:ascii="Times New Roman" w:hAnsi="Times New Roman"/>
          <w:sz w:val="22"/>
          <w:szCs w:val="22"/>
          <w:lang w:eastAsia="en-GB"/>
        </w:rPr>
        <w:t>privacy statement</w:t>
      </w:r>
      <w:r w:rsidR="00830347">
        <w:rPr>
          <w:rFonts w:ascii="Times New Roman" w:hAnsi="Times New Roman"/>
          <w:sz w:val="22"/>
          <w:szCs w:val="22"/>
          <w:lang w:eastAsia="en-GB"/>
        </w:rPr>
        <w:t xml:space="preserve"> </w:t>
      </w:r>
      <w:r w:rsidRPr="00B5440B">
        <w:rPr>
          <w:rFonts w:ascii="Times New Roman" w:hAnsi="Times New Roman"/>
          <w:sz w:val="22"/>
          <w:szCs w:val="22"/>
          <w:lang w:eastAsia="en-GB"/>
        </w:rPr>
        <w:t>is available at</w:t>
      </w:r>
      <w:r w:rsidRPr="00C05EBE">
        <w:rPr>
          <w:rFonts w:ascii="Times New Roman" w:hAnsi="Times New Roman"/>
          <w:sz w:val="22"/>
          <w:szCs w:val="22"/>
          <w:lang w:val="sv-SE"/>
        </w:rPr>
        <w:t xml:space="preserve"> </w:t>
      </w:r>
      <w:hyperlink r:id="rId10" w:anchor="Annexes-AnnexesA(Ch.2):General" w:history="1">
        <w:r w:rsidRPr="00C05EBE">
          <w:rPr>
            <w:rFonts w:ascii="Times New Roman" w:hAnsi="Times New Roman"/>
            <w:color w:val="0000FF"/>
            <w:sz w:val="22"/>
            <w:szCs w:val="22"/>
            <w:u w:val="single"/>
            <w:lang w:val="sv-SE"/>
          </w:rPr>
          <w:t>https://wikis.ec.europa.eu/display/ExactExternalWiki/Annexes#Annexes-AnnexesA(Ch.2):General</w:t>
        </w:r>
      </w:hyperlink>
      <w:r w:rsidR="0043240C">
        <w:rPr>
          <w:rFonts w:ascii="Times New Roman" w:hAnsi="Times New Roman"/>
          <w:color w:val="0000FF"/>
          <w:sz w:val="22"/>
          <w:szCs w:val="22"/>
          <w:u w:val="single"/>
          <w:lang w:val="sv-SE"/>
        </w:rPr>
        <w:t>]</w:t>
      </w:r>
    </w:p>
    <w:p w14:paraId="5F3FDACE" w14:textId="072CB37F" w:rsidR="009F7E6A" w:rsidRDefault="009F7E6A" w:rsidP="00B5440B">
      <w:pPr>
        <w:ind w:left="567" w:hanging="567"/>
        <w:jc w:val="both"/>
        <w:rPr>
          <w:rFonts w:ascii="Times New Roman" w:hAnsi="Times New Roman"/>
          <w:sz w:val="22"/>
          <w:szCs w:val="22"/>
          <w:highlight w:val="lightGray"/>
        </w:rPr>
      </w:pPr>
      <w:r w:rsidRPr="004F6E90">
        <w:rPr>
          <w:rFonts w:ascii="Times New Roman" w:hAnsi="Times New Roman"/>
          <w:sz w:val="22"/>
          <w:szCs w:val="22"/>
        </w:rPr>
        <w:lastRenderedPageBreak/>
        <w:t>1.</w:t>
      </w:r>
      <w:r w:rsidR="005A123C" w:rsidRPr="004F6E90">
        <w:rPr>
          <w:rFonts w:ascii="Times New Roman" w:hAnsi="Times New Roman"/>
          <w:sz w:val="22"/>
          <w:szCs w:val="22"/>
        </w:rPr>
        <w:tab/>
      </w:r>
      <w:r w:rsidRPr="004F6E90">
        <w:rPr>
          <w:rFonts w:ascii="Times New Roman" w:hAnsi="Times New Roman"/>
          <w:sz w:val="22"/>
          <w:szCs w:val="22"/>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08FA58C8" w:rsidR="009F7E6A" w:rsidRPr="00F4288C" w:rsidRDefault="009F7E6A" w:rsidP="00B5440B">
      <w:pPr>
        <w:ind w:left="567" w:hanging="567"/>
        <w:jc w:val="both"/>
        <w:rPr>
          <w:rFonts w:ascii="Times New Roman" w:hAnsi="Times New Roman"/>
          <w:sz w:val="22"/>
          <w:szCs w:val="22"/>
          <w:u w:val="single"/>
        </w:rPr>
      </w:pPr>
      <w:r w:rsidRPr="004F6E90">
        <w:rPr>
          <w:rFonts w:ascii="Times New Roman" w:hAnsi="Times New Roman"/>
          <w:sz w:val="22"/>
          <w:szCs w:val="22"/>
        </w:rPr>
        <w:t>2.</w:t>
      </w:r>
      <w:r w:rsidR="005A123C" w:rsidRPr="004F6E90">
        <w:rPr>
          <w:rFonts w:ascii="Times New Roman" w:hAnsi="Times New Roman"/>
          <w:sz w:val="22"/>
          <w:szCs w:val="22"/>
        </w:rPr>
        <w:tab/>
      </w:r>
      <w:r w:rsidRPr="004F6E90">
        <w:rPr>
          <w:rFonts w:ascii="Times New Roman" w:hAnsi="Times New Roman"/>
          <w:sz w:val="22"/>
          <w:szCs w:val="22"/>
        </w:rPr>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4F6E90">
        <w:rPr>
          <w:rFonts w:ascii="Times New Roman" w:hAnsi="Times New Roman"/>
          <w:sz w:val="22"/>
          <w:szCs w:val="22"/>
        </w:rPr>
        <w:t>personnel</w:t>
      </w:r>
      <w:r w:rsidRPr="004F6E90">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4F6E90">
        <w:rPr>
          <w:rStyle w:val="DipnotBavurusu"/>
          <w:rFonts w:ascii="Times New Roman" w:hAnsi="Times New Roman"/>
          <w:sz w:val="22"/>
          <w:szCs w:val="22"/>
        </w:rPr>
        <w:footnoteReference w:id="4"/>
      </w:r>
      <w:r w:rsidRPr="004F6E90">
        <w:rPr>
          <w:rFonts w:ascii="Times New Roman" w:hAnsi="Times New Roman"/>
          <w:sz w:val="22"/>
          <w:szCs w:val="22"/>
        </w:rPr>
        <w:t xml:space="preserve"> and as detailed in the specific privacy statement published at </w:t>
      </w:r>
      <w:proofErr w:type="spellStart"/>
      <w:r w:rsidRPr="004F6E90">
        <w:rPr>
          <w:rFonts w:ascii="Times New Roman" w:hAnsi="Times New Roman"/>
          <w:sz w:val="22"/>
          <w:szCs w:val="22"/>
        </w:rPr>
        <w:t>ePRAG</w:t>
      </w:r>
      <w:proofErr w:type="spellEnd"/>
      <w:r w:rsidRPr="004F6E90">
        <w:rPr>
          <w:rFonts w:ascii="Times New Roman" w:hAnsi="Times New Roman"/>
          <w:sz w:val="22"/>
          <w:szCs w:val="22"/>
        </w:rPr>
        <w:t>.</w:t>
      </w:r>
    </w:p>
    <w:p w14:paraId="0BB191E9" w14:textId="702A8D5F" w:rsidR="00B605B6" w:rsidRDefault="00B605B6" w:rsidP="00872DA7">
      <w:pPr>
        <w:pStyle w:val="ListeNumaras"/>
        <w:numPr>
          <w:ilvl w:val="0"/>
          <w:numId w:val="0"/>
        </w:numPr>
        <w:spacing w:before="240"/>
        <w:ind w:left="1134" w:hanging="1134"/>
        <w:rPr>
          <w:b/>
          <w:szCs w:val="24"/>
        </w:rPr>
      </w:pPr>
      <w:r w:rsidRPr="00E63DBE">
        <w:rPr>
          <w:b/>
          <w:szCs w:val="24"/>
        </w:rPr>
        <w:t>Article 45</w:t>
      </w:r>
      <w:r w:rsidRPr="00E63DBE">
        <w:rPr>
          <w:b/>
          <w:szCs w:val="24"/>
        </w:rPr>
        <w:tab/>
        <w:t>Further additional clauses</w:t>
      </w:r>
    </w:p>
    <w:p w14:paraId="28D62C56" w14:textId="3B6FB3B0" w:rsidR="00E63DBE" w:rsidRPr="00E63DBE" w:rsidRDefault="00E63DBE" w:rsidP="00E63DBE">
      <w:pPr>
        <w:ind w:left="720"/>
        <w:jc w:val="both"/>
        <w:rPr>
          <w:rFonts w:ascii="Times New Roman" w:hAnsi="Times New Roman"/>
          <w:sz w:val="22"/>
          <w:szCs w:val="22"/>
        </w:rPr>
      </w:pPr>
      <w:proofErr w:type="spellStart"/>
      <w:r w:rsidRPr="00E63DBE">
        <w:rPr>
          <w:rFonts w:ascii="Times New Roman" w:hAnsi="Times New Roman"/>
          <w:sz w:val="22"/>
          <w:szCs w:val="22"/>
          <w:lang w:val="tr-TR"/>
        </w:rPr>
        <w:t>The</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contractor</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shall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comply</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with</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applicable</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obligations</w:t>
      </w:r>
      <w:proofErr w:type="spellEnd"/>
      <w:r w:rsidRPr="00E63DBE">
        <w:rPr>
          <w:rFonts w:ascii="Times New Roman" w:hAnsi="Times New Roman"/>
          <w:sz w:val="22"/>
          <w:szCs w:val="22"/>
          <w:lang w:val="tr-TR"/>
        </w:rPr>
        <w:t xml:space="preserve"> in </w:t>
      </w:r>
      <w:proofErr w:type="spellStart"/>
      <w:r w:rsidRPr="00E63DBE">
        <w:rPr>
          <w:rFonts w:ascii="Times New Roman" w:hAnsi="Times New Roman"/>
          <w:sz w:val="22"/>
          <w:szCs w:val="22"/>
          <w:lang w:val="tr-TR"/>
        </w:rPr>
        <w:t>the</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fields</w:t>
      </w:r>
      <w:proofErr w:type="spellEnd"/>
      <w:r w:rsidRPr="00E63DBE">
        <w:rPr>
          <w:rFonts w:ascii="Times New Roman" w:hAnsi="Times New Roman"/>
          <w:sz w:val="22"/>
          <w:szCs w:val="22"/>
          <w:lang w:val="tr-TR"/>
        </w:rPr>
        <w:t xml:space="preserve"> of </w:t>
      </w:r>
      <w:proofErr w:type="spellStart"/>
      <w:r w:rsidRPr="00E63DBE">
        <w:rPr>
          <w:rFonts w:ascii="Times New Roman" w:hAnsi="Times New Roman"/>
          <w:sz w:val="22"/>
          <w:szCs w:val="22"/>
          <w:lang w:val="tr-TR"/>
        </w:rPr>
        <w:t>environmental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social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and</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labour</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law</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established</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by</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Union</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law</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national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law</w:t>
      </w:r>
      <w:proofErr w:type="spellEnd"/>
      <w:r w:rsidRPr="00E63DBE">
        <w:rPr>
          <w:rFonts w:ascii="Times New Roman" w:hAnsi="Times New Roman"/>
          <w:sz w:val="22"/>
          <w:szCs w:val="22"/>
          <w:lang w:val="tr-TR"/>
        </w:rPr>
        <w:t xml:space="preserve">, Collective </w:t>
      </w:r>
      <w:proofErr w:type="spellStart"/>
      <w:r w:rsidRPr="00E63DBE">
        <w:rPr>
          <w:rFonts w:ascii="Times New Roman" w:hAnsi="Times New Roman"/>
          <w:sz w:val="22"/>
          <w:szCs w:val="22"/>
          <w:lang w:val="tr-TR"/>
        </w:rPr>
        <w:t>agreements</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or</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by</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the</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international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social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and</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environmental</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conventions</w:t>
      </w:r>
      <w:proofErr w:type="spellEnd"/>
      <w:r w:rsidRPr="00E63DBE">
        <w:rPr>
          <w:rFonts w:ascii="Times New Roman" w:hAnsi="Times New Roman"/>
          <w:sz w:val="22"/>
          <w:szCs w:val="22"/>
          <w:lang w:val="tr-TR"/>
        </w:rPr>
        <w:t xml:space="preserve"> </w:t>
      </w:r>
      <w:proofErr w:type="spellStart"/>
      <w:r w:rsidRPr="00E63DBE">
        <w:rPr>
          <w:rFonts w:ascii="Times New Roman" w:hAnsi="Times New Roman"/>
          <w:sz w:val="22"/>
          <w:szCs w:val="22"/>
          <w:lang w:val="tr-TR"/>
        </w:rPr>
        <w:t>listed</w:t>
      </w:r>
      <w:proofErr w:type="spellEnd"/>
      <w:r w:rsidRPr="00E63DBE">
        <w:rPr>
          <w:rFonts w:ascii="Times New Roman" w:hAnsi="Times New Roman"/>
          <w:sz w:val="22"/>
          <w:szCs w:val="22"/>
          <w:lang w:val="tr-TR"/>
        </w:rPr>
        <w:t xml:space="preserve"> in </w:t>
      </w:r>
      <w:proofErr w:type="spellStart"/>
      <w:r w:rsidRPr="00E63DBE">
        <w:rPr>
          <w:rFonts w:ascii="Times New Roman" w:hAnsi="Times New Roman"/>
          <w:sz w:val="22"/>
          <w:szCs w:val="22"/>
          <w:lang w:val="tr-TR"/>
        </w:rPr>
        <w:t>Annex</w:t>
      </w:r>
      <w:proofErr w:type="spellEnd"/>
      <w:r w:rsidRPr="00E63DBE">
        <w:rPr>
          <w:rFonts w:ascii="Times New Roman" w:hAnsi="Times New Roman"/>
          <w:sz w:val="22"/>
          <w:szCs w:val="22"/>
          <w:lang w:val="tr-TR"/>
        </w:rPr>
        <w:t xml:space="preserve"> X </w:t>
      </w:r>
      <w:proofErr w:type="spellStart"/>
      <w:r w:rsidRPr="00E63DBE">
        <w:rPr>
          <w:rFonts w:ascii="Times New Roman" w:hAnsi="Times New Roman"/>
          <w:sz w:val="22"/>
          <w:szCs w:val="22"/>
          <w:lang w:val="tr-TR"/>
        </w:rPr>
        <w:t>to</w:t>
      </w:r>
      <w:proofErr w:type="spellEnd"/>
      <w:r w:rsidRPr="00E63DBE">
        <w:rPr>
          <w:rFonts w:ascii="Times New Roman" w:hAnsi="Times New Roman"/>
          <w:sz w:val="22"/>
          <w:szCs w:val="22"/>
          <w:lang w:val="tr-TR"/>
        </w:rPr>
        <w:t xml:space="preserve"> Directive 2014/24/EU;</w:t>
      </w:r>
    </w:p>
    <w:p w14:paraId="016C5FE5" w14:textId="77777777" w:rsidR="001B55AC" w:rsidRPr="003D6B6C" w:rsidRDefault="001B55AC" w:rsidP="001B55AC">
      <w:pPr>
        <w:pStyle w:val="ListeNumaras"/>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B5440B">
      <w:headerReference w:type="default" r:id="rId11"/>
      <w:footerReference w:type="even" r:id="rId12"/>
      <w:footerReference w:type="default" r:id="rId13"/>
      <w:footerReference w:type="first" r:id="rId14"/>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2C5D" w14:textId="77777777" w:rsidR="00930E96" w:rsidRPr="006A5F84" w:rsidRDefault="00930E96">
      <w:r w:rsidRPr="006A5F84">
        <w:separator/>
      </w:r>
    </w:p>
  </w:endnote>
  <w:endnote w:type="continuationSeparator" w:id="0">
    <w:p w14:paraId="0A13D410" w14:textId="77777777" w:rsidR="00930E96" w:rsidRPr="006A5F84" w:rsidRDefault="00930E96">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auto"/>
    <w:notTrueType/>
    <w:pitch w:val="variable"/>
    <w:sig w:usb0="80000067"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43E34293" w14:textId="77777777" w:rsidR="00117ADA" w:rsidRDefault="00117ADA" w:rsidP="0047783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66634087" w:rsidR="007E36E3" w:rsidRPr="00FE689C" w:rsidRDefault="00CA1E77" w:rsidP="007E36E3">
    <w:pPr>
      <w:pStyle w:val="AltBilgi"/>
      <w:tabs>
        <w:tab w:val="clear" w:pos="4320"/>
        <w:tab w:val="clear" w:pos="8640"/>
        <w:tab w:val="right" w:pos="8647"/>
      </w:tabs>
      <w:spacing w:after="0"/>
      <w:ind w:right="6"/>
      <w:rPr>
        <w:rStyle w:val="SayfaNumaras"/>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SayfaNumaras"/>
        <w:rFonts w:ascii="Times New Roman" w:hAnsi="Times New Roman"/>
        <w:sz w:val="18"/>
        <w:szCs w:val="18"/>
        <w:lang w:val="en-GB"/>
      </w:rPr>
      <w:t xml:space="preserve">Page </w:t>
    </w:r>
    <w:r w:rsidR="007E36E3" w:rsidRPr="009423FB">
      <w:rPr>
        <w:rStyle w:val="SayfaNumaras"/>
        <w:rFonts w:ascii="Times New Roman" w:hAnsi="Times New Roman"/>
        <w:sz w:val="18"/>
        <w:szCs w:val="18"/>
      </w:rPr>
      <w:fldChar w:fldCharType="begin"/>
    </w:r>
    <w:r w:rsidR="007E36E3" w:rsidRPr="00FE689C">
      <w:rPr>
        <w:rStyle w:val="SayfaNumaras"/>
        <w:rFonts w:ascii="Times New Roman" w:hAnsi="Times New Roman"/>
        <w:sz w:val="18"/>
        <w:szCs w:val="18"/>
        <w:lang w:val="en-GB"/>
      </w:rPr>
      <w:instrText xml:space="preserve"> PAGE </w:instrText>
    </w:r>
    <w:r w:rsidR="007E36E3" w:rsidRPr="009423FB">
      <w:rPr>
        <w:rStyle w:val="SayfaNumaras"/>
        <w:rFonts w:ascii="Times New Roman" w:hAnsi="Times New Roman"/>
        <w:sz w:val="18"/>
        <w:szCs w:val="18"/>
      </w:rPr>
      <w:fldChar w:fldCharType="separate"/>
    </w:r>
    <w:r w:rsidR="003E5CA0">
      <w:rPr>
        <w:rStyle w:val="SayfaNumaras"/>
        <w:rFonts w:ascii="Times New Roman" w:hAnsi="Times New Roman"/>
        <w:noProof/>
        <w:sz w:val="18"/>
        <w:szCs w:val="18"/>
        <w:lang w:val="en-GB"/>
      </w:rPr>
      <w:t>10</w:t>
    </w:r>
    <w:r w:rsidR="007E36E3" w:rsidRPr="009423FB">
      <w:rPr>
        <w:rStyle w:val="SayfaNumaras"/>
        <w:rFonts w:ascii="Times New Roman" w:hAnsi="Times New Roman"/>
        <w:sz w:val="18"/>
        <w:szCs w:val="18"/>
      </w:rPr>
      <w:fldChar w:fldCharType="end"/>
    </w:r>
    <w:r w:rsidR="007E36E3" w:rsidRPr="00FE689C">
      <w:rPr>
        <w:rStyle w:val="SayfaNumaras"/>
        <w:rFonts w:ascii="Times New Roman" w:hAnsi="Times New Roman"/>
        <w:sz w:val="18"/>
        <w:szCs w:val="18"/>
        <w:lang w:val="en-GB"/>
      </w:rPr>
      <w:t xml:space="preserve"> of </w:t>
    </w:r>
    <w:r w:rsidR="007E36E3" w:rsidRPr="009423FB">
      <w:rPr>
        <w:rStyle w:val="SayfaNumaras"/>
        <w:rFonts w:ascii="Times New Roman" w:hAnsi="Times New Roman"/>
        <w:sz w:val="18"/>
        <w:szCs w:val="18"/>
      </w:rPr>
      <w:fldChar w:fldCharType="begin"/>
    </w:r>
    <w:r w:rsidR="007E36E3" w:rsidRPr="00FE689C">
      <w:rPr>
        <w:rStyle w:val="SayfaNumaras"/>
        <w:rFonts w:ascii="Times New Roman" w:hAnsi="Times New Roman"/>
        <w:sz w:val="18"/>
        <w:szCs w:val="18"/>
        <w:lang w:val="en-GB"/>
      </w:rPr>
      <w:instrText xml:space="preserve"> NUMPAGES </w:instrText>
    </w:r>
    <w:r w:rsidR="007E36E3" w:rsidRPr="009423FB">
      <w:rPr>
        <w:rStyle w:val="SayfaNumaras"/>
        <w:rFonts w:ascii="Times New Roman" w:hAnsi="Times New Roman"/>
        <w:sz w:val="18"/>
        <w:szCs w:val="18"/>
      </w:rPr>
      <w:fldChar w:fldCharType="separate"/>
    </w:r>
    <w:r w:rsidR="003E5CA0">
      <w:rPr>
        <w:rStyle w:val="SayfaNumaras"/>
        <w:rFonts w:ascii="Times New Roman" w:hAnsi="Times New Roman"/>
        <w:noProof/>
        <w:sz w:val="18"/>
        <w:szCs w:val="18"/>
        <w:lang w:val="en-GB"/>
      </w:rPr>
      <w:t>14</w:t>
    </w:r>
    <w:r w:rsidR="007E36E3" w:rsidRPr="009423FB">
      <w:rPr>
        <w:rStyle w:val="SayfaNumaras"/>
        <w:rFonts w:ascii="Times New Roman" w:hAnsi="Times New Roman"/>
        <w:sz w:val="18"/>
        <w:szCs w:val="18"/>
      </w:rPr>
      <w:fldChar w:fldCharType="end"/>
    </w:r>
  </w:p>
  <w:p w14:paraId="32214240" w14:textId="269F0A18" w:rsidR="00117ADA" w:rsidRPr="007E36E3" w:rsidRDefault="008E007A" w:rsidP="008E007A">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B5440B">
      <w:rPr>
        <w:rFonts w:ascii="Times New Roman" w:hAnsi="Times New Roman"/>
        <w:noProof/>
        <w:sz w:val="18"/>
        <w:szCs w:val="18"/>
      </w:rPr>
      <w:t>c4d_specialconditions_en.docx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AltBilgi"/>
      <w:framePr w:wrap="around" w:vAnchor="text" w:hAnchor="margin" w:xAlign="right" w:y="1"/>
      <w:rPr>
        <w:rStyle w:val="SayfaNumaras"/>
      </w:rPr>
    </w:pPr>
    <w:r w:rsidRPr="006A5F84">
      <w:rPr>
        <w:rStyle w:val="SayfaNumaras"/>
      </w:rPr>
      <w:fldChar w:fldCharType="begin"/>
    </w:r>
    <w:r w:rsidRPr="006A5F84">
      <w:rPr>
        <w:rStyle w:val="SayfaNumaras"/>
      </w:rPr>
      <w:instrText xml:space="preserve">PAGE  </w:instrText>
    </w:r>
    <w:r w:rsidRPr="006A5F84">
      <w:rPr>
        <w:rStyle w:val="SayfaNumaras"/>
      </w:rPr>
      <w:fldChar w:fldCharType="separate"/>
    </w:r>
    <w:r w:rsidRPr="006A5F84">
      <w:rPr>
        <w:rStyle w:val="SayfaNumaras"/>
      </w:rPr>
      <w:t>1</w:t>
    </w:r>
    <w:r w:rsidRPr="006A5F84">
      <w:rPr>
        <w:rStyle w:val="SayfaNumaras"/>
      </w:rPr>
      <w:fldChar w:fldCharType="end"/>
    </w:r>
  </w:p>
  <w:p w14:paraId="6181BD8D" w14:textId="77777777" w:rsidR="00117ADA" w:rsidRPr="006A5F84" w:rsidRDefault="00117ADA" w:rsidP="0047783A">
    <w:pPr>
      <w:pStyle w:val="AltBilgi"/>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974D4" w14:textId="77777777" w:rsidR="00930E96" w:rsidRPr="006A5F84" w:rsidRDefault="00930E96">
      <w:r w:rsidRPr="006A5F84">
        <w:separator/>
      </w:r>
    </w:p>
  </w:footnote>
  <w:footnote w:type="continuationSeparator" w:id="0">
    <w:p w14:paraId="4E735528" w14:textId="77777777" w:rsidR="00930E96" w:rsidRPr="006A5F84" w:rsidRDefault="00930E96">
      <w:r w:rsidRPr="006A5F84">
        <w:continuationSeparator/>
      </w:r>
    </w:p>
  </w:footnote>
  <w:footnote w:id="1">
    <w:p w14:paraId="578997DE" w14:textId="77777777" w:rsidR="005E1E2F" w:rsidRPr="00723015" w:rsidRDefault="005E1E2F" w:rsidP="005E1E2F">
      <w:pPr>
        <w:pStyle w:val="DipnotMetni"/>
      </w:pPr>
      <w:r w:rsidRPr="006A5F84">
        <w:rPr>
          <w:rStyle w:val="DipnotBavurusu"/>
          <w:lang w:val="en-GB"/>
        </w:rPr>
        <w:footnoteRef/>
      </w:r>
      <w:r w:rsidRPr="00723015">
        <w:tab/>
      </w:r>
      <w:r w:rsidRPr="00656F32">
        <w:t>DDP (</w:t>
      </w:r>
      <w:proofErr w:type="spellStart"/>
      <w:r w:rsidRPr="00656F32">
        <w:t>Delivered</w:t>
      </w:r>
      <w:proofErr w:type="spellEnd"/>
      <w:r w:rsidRPr="00656F32">
        <w:t xml:space="preserve"> Duty </w:t>
      </w:r>
      <w:proofErr w:type="spellStart"/>
      <w:r w:rsidRPr="00656F32">
        <w:t>Paid</w:t>
      </w:r>
      <w:proofErr w:type="spellEnd"/>
      <w:r w:rsidRPr="00656F32">
        <w:t>) / DAP (</w:t>
      </w:r>
      <w:proofErr w:type="spellStart"/>
      <w:r w:rsidRPr="00656F32">
        <w:t>Delivered</w:t>
      </w:r>
      <w:proofErr w:type="spellEnd"/>
      <w:r w:rsidRPr="00656F32">
        <w:t xml:space="preserve"> At Place) —</w:t>
      </w:r>
      <w:r w:rsidRPr="00723015">
        <w:t xml:space="preserve"> Incoterms 2020 International </w:t>
      </w:r>
      <w:proofErr w:type="spellStart"/>
      <w:r w:rsidRPr="00723015">
        <w:t>Chamber</w:t>
      </w:r>
      <w:proofErr w:type="spellEnd"/>
      <w:r w:rsidRPr="00723015">
        <w:t xml:space="preserve"> of Commerce </w:t>
      </w:r>
      <w:hyperlink r:id="rId1" w:history="1">
        <w:r>
          <w:rPr>
            <w:rStyle w:val="Kpr"/>
            <w:lang w:val="en-GB"/>
          </w:rPr>
          <w:t>http://www.iccwbo.org/incoterms/</w:t>
        </w:r>
      </w:hyperlink>
    </w:p>
  </w:footnote>
  <w:footnote w:id="2">
    <w:p w14:paraId="00BFEC00" w14:textId="77777777" w:rsidR="00ED5E1D" w:rsidRPr="000665DD" w:rsidRDefault="00ED5E1D" w:rsidP="00ED5E1D">
      <w:pPr>
        <w:pStyle w:val="DipnotMetni"/>
        <w:rPr>
          <w:lang w:val="en-GB"/>
        </w:rPr>
      </w:pPr>
      <w:r w:rsidRPr="000665DD">
        <w:rPr>
          <w:rStyle w:val="DipnotBavurusu"/>
          <w:lang w:val="en-GB"/>
        </w:rPr>
        <w:footnoteRef/>
      </w:r>
      <w:r w:rsidRPr="000665DD">
        <w:rPr>
          <w:lang w:val="en-GB"/>
        </w:rPr>
        <w:t xml:space="preserve"> See </w:t>
      </w:r>
      <w:hyperlink r:id="rId2" w:history="1">
        <w:r w:rsidRPr="000665DD">
          <w:rPr>
            <w:rStyle w:val="Kpr"/>
            <w:lang w:val="en-GB"/>
          </w:rPr>
          <w:t>http://www.iccwbo.org/incoterms/</w:t>
        </w:r>
      </w:hyperlink>
    </w:p>
  </w:footnote>
  <w:footnote w:id="3">
    <w:p w14:paraId="56D56E54" w14:textId="0C13E274" w:rsidR="001C6A79" w:rsidRPr="002F36D0" w:rsidRDefault="001C6A79" w:rsidP="009D0375">
      <w:pPr>
        <w:pStyle w:val="DipnotMetni"/>
        <w:rPr>
          <w:lang w:val="en-GB"/>
        </w:rPr>
      </w:pPr>
      <w:r w:rsidRPr="002F36D0">
        <w:rPr>
          <w:rStyle w:val="DipnotBavurusu"/>
          <w:lang w:val="en-GB"/>
        </w:rPr>
        <w:footnoteRef/>
      </w:r>
      <w:r w:rsidR="009D0375" w:rsidRPr="002F36D0">
        <w:rPr>
          <w:lang w:val="en-GB"/>
        </w:rPr>
        <w:tab/>
      </w:r>
      <w:bookmarkStart w:id="22" w:name="_Hlk167465553"/>
      <w:r w:rsidR="00651B07" w:rsidRPr="002F36D0">
        <w:rPr>
          <w:lang w:val="en-GB"/>
        </w:rPr>
        <w:t xml:space="preserve">The first-prefinancing payment shall not be subject to the receipt of an invoice and no invoice is required. In case the use of the electronic exchange system under Article 4.4 of the special conditions is not activated, the contractor must send an invoice for the pre-financing payment. </w:t>
      </w:r>
      <w:bookmarkEnd w:id="22"/>
      <w:r w:rsidRPr="002F36D0">
        <w:rPr>
          <w:lang w:val="en-GB"/>
        </w:rPr>
        <w:t>Otherwise</w:t>
      </w:r>
      <w:r w:rsidR="00A31EF5" w:rsidRPr="002F36D0">
        <w:rPr>
          <w:lang w:val="en-GB"/>
        </w:rPr>
        <w:t>,</w:t>
      </w:r>
      <w:r w:rsidRPr="002F36D0">
        <w:rPr>
          <w:lang w:val="en-GB"/>
        </w:rPr>
        <w:t xml:space="preserve"> the first-prefinancing payment shall not be subject to the receipt of an invoice</w:t>
      </w:r>
      <w:r w:rsidR="00A31EF5" w:rsidRPr="002F36D0">
        <w:rPr>
          <w:lang w:val="en-GB"/>
        </w:rPr>
        <w:t xml:space="preserve"> and no invoice is required</w:t>
      </w:r>
      <w:r w:rsidRPr="002F36D0">
        <w:rPr>
          <w:lang w:val="en-GB"/>
        </w:rPr>
        <w:t>.</w:t>
      </w:r>
    </w:p>
  </w:footnote>
  <w:footnote w:id="4">
    <w:p w14:paraId="613D5799" w14:textId="2FC28031" w:rsidR="009F7E6A" w:rsidRPr="000665DD" w:rsidRDefault="009F7E6A" w:rsidP="009D0375">
      <w:pPr>
        <w:pStyle w:val="DipnotMetni"/>
        <w:rPr>
          <w:lang w:val="en-GB"/>
        </w:rPr>
      </w:pPr>
      <w:r w:rsidRPr="000665DD">
        <w:rPr>
          <w:rStyle w:val="DipnotBavurusu"/>
          <w:lang w:val="en-GB"/>
        </w:rPr>
        <w:footnoteRef/>
      </w:r>
      <w:r w:rsidR="005A123C" w:rsidRPr="000665DD">
        <w:rPr>
          <w:lang w:val="en-GB"/>
        </w:rPr>
        <w:tab/>
      </w:r>
      <w:r w:rsidRPr="000665DD">
        <w:rPr>
          <w:lang w:val="en-GB"/>
        </w:rPr>
        <w:t>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106F" w14:textId="23B55C8E" w:rsidR="00C84FFB" w:rsidRPr="00DF0F0D" w:rsidRDefault="00DF0F0D">
    <w:pPr>
      <w:pStyle w:val="stBilgi"/>
      <w:rPr>
        <w:lang w:val="tr-TR"/>
      </w:rPr>
    </w:pPr>
    <w:r w:rsidRPr="00DF0F0D">
      <w:rPr>
        <w:lang w:val="tr-TR"/>
      </w:rPr>
      <w:fldChar w:fldCharType="begin"/>
    </w:r>
    <w:r w:rsidRPr="00DF0F0D">
      <w:rPr>
        <w:lang w:val="tr-TR"/>
      </w:rPr>
      <w:instrText xml:space="preserve"> INCLUDEPICTURE "C:\\Users\\sheni\\Desktop\\FIRMALAR\\1. IMPLEMENTATION\\3 - Dokum -Kirovci\\communication\\SustainaMetal.jpg" \* MERGEFORMATINET </w:instrText>
    </w:r>
    <w:r w:rsidRPr="00DF0F0D">
      <w:rPr>
        <w:lang w:val="tr-TR"/>
      </w:rPr>
      <w:fldChar w:fldCharType="separate"/>
    </w:r>
    <w:r>
      <w:rPr>
        <w:lang w:val="tr-TR"/>
      </w:rPr>
      <w:fldChar w:fldCharType="begin"/>
    </w:r>
    <w:r>
      <w:rPr>
        <w:lang w:val="tr-TR"/>
      </w:rPr>
      <w:instrText xml:space="preserve"> INCLUDEPICTURE  "C:\\Users\\sheni\\Desktop\\FIRMALAR\\1. IMPLEMENTATION\\3 - Dokum -Kirovci\\communication\\SustainaMetal.jpg" \* MERGEFORMATINET </w:instrText>
    </w:r>
    <w:r>
      <w:rPr>
        <w:lang w:val="tr-TR"/>
      </w:rPr>
      <w:fldChar w:fldCharType="separate"/>
    </w:r>
    <w:r>
      <w:rPr>
        <w:lang w:val="tr-TR"/>
      </w:rPr>
      <w:fldChar w:fldCharType="begin"/>
    </w:r>
    <w:r>
      <w:rPr>
        <w:lang w:val="tr-TR"/>
      </w:rPr>
      <w:instrText xml:space="preserve"> INCLUDEPICTURE  "C:\\Users\\sheni\\Desktop\\FIRMALAR\\1. IMPLEMENTATION\\3 - Dokum -Kirovci\\communication\\SustainaMetal.jpg" \* MERGEFORMATINET </w:instrText>
    </w:r>
    <w:r>
      <w:rPr>
        <w:lang w:val="tr-TR"/>
      </w:rPr>
      <w:fldChar w:fldCharType="separate"/>
    </w:r>
    <w:r>
      <w:rPr>
        <w:lang w:val="tr-TR"/>
      </w:rPr>
      <w:fldChar w:fldCharType="begin"/>
    </w:r>
    <w:r>
      <w:rPr>
        <w:lang w:val="tr-TR"/>
      </w:rPr>
      <w:instrText xml:space="preserve"> INCLUDEPICTURE  "C:\\Users\\sheni\\Desktop\\FIRMALAR\\1. IMPLEMENTATION\\3 - Dokum -Kirovci\\communication\\SustainaMetal.jpg" \* MERGEFORMATINET </w:instrText>
    </w:r>
    <w:r>
      <w:rPr>
        <w:lang w:val="tr-TR"/>
      </w:rPr>
      <w:fldChar w:fldCharType="separate"/>
    </w:r>
    <w:r w:rsidR="00CA3001">
      <w:rPr>
        <w:lang w:val="tr-TR"/>
      </w:rPr>
      <w:fldChar w:fldCharType="begin"/>
    </w:r>
    <w:r w:rsidR="00CA3001">
      <w:rPr>
        <w:lang w:val="tr-TR"/>
      </w:rPr>
      <w:instrText xml:space="preserve"> INCLUDEPICTURE  "C:\\Users\\sheni\\Desktop\\FIRMALAR\\1. IMPLEMENTATION\\3 - Dokum -Kirovci\\communication\\SustainaMetal.jpg" \* MERGEFORMATINET </w:instrText>
    </w:r>
    <w:r w:rsidR="00CA3001">
      <w:rPr>
        <w:lang w:val="tr-TR"/>
      </w:rPr>
      <w:fldChar w:fldCharType="separate"/>
    </w:r>
    <w:r w:rsidR="00000000">
      <w:rPr>
        <w:lang w:val="tr-TR"/>
      </w:rPr>
      <w:fldChar w:fldCharType="begin"/>
    </w:r>
    <w:r w:rsidR="00000000">
      <w:rPr>
        <w:lang w:val="tr-TR"/>
      </w:rPr>
      <w:instrText xml:space="preserve"> INCLUDEPICTURE  "C:\\Users\\sheni\\Desktop\\FIRMALAR\\1. IMPLEMENTATION\\3 - Dokum -Kirovci\\communication\\SustainaMetal.jpg" \* MERGEFORMATINET </w:instrText>
    </w:r>
    <w:r w:rsidR="00000000">
      <w:rPr>
        <w:lang w:val="tr-TR"/>
      </w:rPr>
      <w:fldChar w:fldCharType="separate"/>
    </w:r>
    <w:r w:rsidR="00E708FC">
      <w:rPr>
        <w:lang w:val="tr-TR"/>
      </w:rPr>
      <w:pict w14:anchorId="46DE7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82.5pt">
          <v:imagedata r:id="rId1" r:href="rId2"/>
        </v:shape>
      </w:pict>
    </w:r>
    <w:r w:rsidR="00000000">
      <w:rPr>
        <w:lang w:val="tr-TR"/>
      </w:rPr>
      <w:fldChar w:fldCharType="end"/>
    </w:r>
    <w:r w:rsidR="00CA3001">
      <w:rPr>
        <w:lang w:val="tr-TR"/>
      </w:rPr>
      <w:fldChar w:fldCharType="end"/>
    </w:r>
    <w:r>
      <w:rPr>
        <w:lang w:val="tr-TR"/>
      </w:rPr>
      <w:fldChar w:fldCharType="end"/>
    </w:r>
    <w:r>
      <w:rPr>
        <w:lang w:val="tr-TR"/>
      </w:rPr>
      <w:fldChar w:fldCharType="end"/>
    </w:r>
    <w:r>
      <w:rPr>
        <w:lang w:val="tr-TR"/>
      </w:rPr>
      <w:fldChar w:fldCharType="end"/>
    </w:r>
    <w:r w:rsidRPr="00DF0F0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F72"/>
    <w:multiLevelType w:val="hybridMultilevel"/>
    <w:tmpl w:val="8DD6E96C"/>
    <w:lvl w:ilvl="0" w:tplc="1C507F64">
      <w:start w:val="31"/>
      <w:numFmt w:val="bullet"/>
      <w:lvlText w:val="-"/>
      <w:lvlJc w:val="left"/>
      <w:pPr>
        <w:ind w:left="1494" w:hanging="360"/>
      </w:pPr>
      <w:rPr>
        <w:rFonts w:ascii="Times New Roman" w:eastAsia="Times New Roman" w:hAnsi="Times New Roman" w:cs="Times New Roman"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eNumara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61849"/>
    <w:multiLevelType w:val="multilevel"/>
    <w:tmpl w:val="9C84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D4434BD"/>
    <w:multiLevelType w:val="hybridMultilevel"/>
    <w:tmpl w:val="DDF456A4"/>
    <w:lvl w:ilvl="0" w:tplc="041F0003">
      <w:start w:val="1"/>
      <w:numFmt w:val="bullet"/>
      <w:lvlText w:val="o"/>
      <w:lvlJc w:val="left"/>
      <w:pPr>
        <w:ind w:left="1494" w:hanging="360"/>
      </w:pPr>
      <w:rPr>
        <w:rFonts w:ascii="Courier New" w:hAnsi="Courier New" w:cs="Courier New"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2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0594BEA"/>
    <w:multiLevelType w:val="multilevel"/>
    <w:tmpl w:val="057EE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188699">
    <w:abstractNumId w:val="11"/>
  </w:num>
  <w:num w:numId="2" w16cid:durableId="818964447">
    <w:abstractNumId w:val="26"/>
  </w:num>
  <w:num w:numId="3" w16cid:durableId="1091316594">
    <w:abstractNumId w:val="10"/>
  </w:num>
  <w:num w:numId="4" w16cid:durableId="325011496">
    <w:abstractNumId w:val="13"/>
  </w:num>
  <w:num w:numId="5" w16cid:durableId="1126629808">
    <w:abstractNumId w:val="29"/>
  </w:num>
  <w:num w:numId="6" w16cid:durableId="2105033888">
    <w:abstractNumId w:val="8"/>
  </w:num>
  <w:num w:numId="7" w16cid:durableId="974914910">
    <w:abstractNumId w:val="5"/>
  </w:num>
  <w:num w:numId="8" w16cid:durableId="1185364038">
    <w:abstractNumId w:val="2"/>
  </w:num>
  <w:num w:numId="9" w16cid:durableId="1801801330">
    <w:abstractNumId w:val="14"/>
  </w:num>
  <w:num w:numId="10" w16cid:durableId="205871635">
    <w:abstractNumId w:val="4"/>
  </w:num>
  <w:num w:numId="11" w16cid:durableId="1573999615">
    <w:abstractNumId w:val="24"/>
  </w:num>
  <w:num w:numId="12" w16cid:durableId="310447625">
    <w:abstractNumId w:val="12"/>
  </w:num>
  <w:num w:numId="13" w16cid:durableId="2093429629">
    <w:abstractNumId w:val="6"/>
  </w:num>
  <w:num w:numId="14" w16cid:durableId="892740171">
    <w:abstractNumId w:val="20"/>
  </w:num>
  <w:num w:numId="15" w16cid:durableId="1700667367">
    <w:abstractNumId w:val="22"/>
  </w:num>
  <w:num w:numId="16" w16cid:durableId="787310804">
    <w:abstractNumId w:val="7"/>
  </w:num>
  <w:num w:numId="17" w16cid:durableId="1691101858">
    <w:abstractNumId w:val="17"/>
  </w:num>
  <w:num w:numId="18" w16cid:durableId="860165109">
    <w:abstractNumId w:val="9"/>
  </w:num>
  <w:num w:numId="19" w16cid:durableId="1202285303">
    <w:abstractNumId w:val="3"/>
  </w:num>
  <w:num w:numId="20" w16cid:durableId="988704147">
    <w:abstractNumId w:val="25"/>
  </w:num>
  <w:num w:numId="21" w16cid:durableId="1560508426">
    <w:abstractNumId w:val="18"/>
  </w:num>
  <w:num w:numId="22" w16cid:durableId="1179002257">
    <w:abstractNumId w:val="15"/>
  </w:num>
  <w:num w:numId="23" w16cid:durableId="229584476">
    <w:abstractNumId w:val="1"/>
  </w:num>
  <w:num w:numId="24" w16cid:durableId="1334186439">
    <w:abstractNumId w:val="23"/>
  </w:num>
  <w:num w:numId="25" w16cid:durableId="1944266987">
    <w:abstractNumId w:val="30"/>
  </w:num>
  <w:num w:numId="26" w16cid:durableId="173958389">
    <w:abstractNumId w:val="19"/>
  </w:num>
  <w:num w:numId="27" w16cid:durableId="681008755">
    <w:abstractNumId w:val="28"/>
  </w:num>
  <w:num w:numId="28" w16cid:durableId="1199514087">
    <w:abstractNumId w:val="21"/>
  </w:num>
  <w:num w:numId="29" w16cid:durableId="358316830">
    <w:abstractNumId w:val="16"/>
  </w:num>
  <w:num w:numId="30" w16cid:durableId="166076999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D"/>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654F"/>
    <w:rsid w:val="000B79F6"/>
    <w:rsid w:val="000B7C15"/>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1CC8"/>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3943"/>
    <w:rsid w:val="001C6A79"/>
    <w:rsid w:val="001C709F"/>
    <w:rsid w:val="001C75B0"/>
    <w:rsid w:val="001D0532"/>
    <w:rsid w:val="001D1EB9"/>
    <w:rsid w:val="001D20C7"/>
    <w:rsid w:val="001D339B"/>
    <w:rsid w:val="001E2362"/>
    <w:rsid w:val="001E4648"/>
    <w:rsid w:val="001F2655"/>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0F13"/>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550"/>
    <w:rsid w:val="00297C14"/>
    <w:rsid w:val="002A0041"/>
    <w:rsid w:val="002A0259"/>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6D0"/>
    <w:rsid w:val="002F3C0E"/>
    <w:rsid w:val="0031140C"/>
    <w:rsid w:val="00317D86"/>
    <w:rsid w:val="00322263"/>
    <w:rsid w:val="00324259"/>
    <w:rsid w:val="0032469B"/>
    <w:rsid w:val="003308C6"/>
    <w:rsid w:val="003316E3"/>
    <w:rsid w:val="0033212F"/>
    <w:rsid w:val="003323F5"/>
    <w:rsid w:val="00332F08"/>
    <w:rsid w:val="003330F8"/>
    <w:rsid w:val="00335E06"/>
    <w:rsid w:val="0033700A"/>
    <w:rsid w:val="003409B8"/>
    <w:rsid w:val="003439C4"/>
    <w:rsid w:val="00345D44"/>
    <w:rsid w:val="00347B7E"/>
    <w:rsid w:val="003502E9"/>
    <w:rsid w:val="00351351"/>
    <w:rsid w:val="00360344"/>
    <w:rsid w:val="003613D2"/>
    <w:rsid w:val="00361AE1"/>
    <w:rsid w:val="00361AF6"/>
    <w:rsid w:val="00363ACC"/>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1F5"/>
    <w:rsid w:val="0039564A"/>
    <w:rsid w:val="00395823"/>
    <w:rsid w:val="003A1309"/>
    <w:rsid w:val="003A431E"/>
    <w:rsid w:val="003C084D"/>
    <w:rsid w:val="003C32D6"/>
    <w:rsid w:val="003C7266"/>
    <w:rsid w:val="003D2078"/>
    <w:rsid w:val="003D3CAA"/>
    <w:rsid w:val="003D3D45"/>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6264"/>
    <w:rsid w:val="004072FA"/>
    <w:rsid w:val="00407C90"/>
    <w:rsid w:val="00407D3B"/>
    <w:rsid w:val="0041345E"/>
    <w:rsid w:val="004158A1"/>
    <w:rsid w:val="00415CCD"/>
    <w:rsid w:val="00417570"/>
    <w:rsid w:val="00420666"/>
    <w:rsid w:val="00421FDE"/>
    <w:rsid w:val="004300D4"/>
    <w:rsid w:val="00430FE7"/>
    <w:rsid w:val="0043157A"/>
    <w:rsid w:val="004316F0"/>
    <w:rsid w:val="0043240C"/>
    <w:rsid w:val="00432F7A"/>
    <w:rsid w:val="00441859"/>
    <w:rsid w:val="00443A08"/>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84CB1"/>
    <w:rsid w:val="0049088E"/>
    <w:rsid w:val="0049293D"/>
    <w:rsid w:val="00494168"/>
    <w:rsid w:val="004A0140"/>
    <w:rsid w:val="004A101E"/>
    <w:rsid w:val="004A6563"/>
    <w:rsid w:val="004A7ED9"/>
    <w:rsid w:val="004B609A"/>
    <w:rsid w:val="004B633B"/>
    <w:rsid w:val="004B7463"/>
    <w:rsid w:val="004C270A"/>
    <w:rsid w:val="004C35B5"/>
    <w:rsid w:val="004C3C82"/>
    <w:rsid w:val="004C6030"/>
    <w:rsid w:val="004C77A2"/>
    <w:rsid w:val="004D2FD8"/>
    <w:rsid w:val="004D33C9"/>
    <w:rsid w:val="004D375D"/>
    <w:rsid w:val="004D7349"/>
    <w:rsid w:val="004E43B2"/>
    <w:rsid w:val="004E6C5D"/>
    <w:rsid w:val="004F5C57"/>
    <w:rsid w:val="004F6E90"/>
    <w:rsid w:val="004F7A0E"/>
    <w:rsid w:val="005005D7"/>
    <w:rsid w:val="00501FF0"/>
    <w:rsid w:val="005047E0"/>
    <w:rsid w:val="00507AF2"/>
    <w:rsid w:val="00507BA0"/>
    <w:rsid w:val="00512BE8"/>
    <w:rsid w:val="00513C6F"/>
    <w:rsid w:val="00515D85"/>
    <w:rsid w:val="00515E6D"/>
    <w:rsid w:val="00516552"/>
    <w:rsid w:val="0051770F"/>
    <w:rsid w:val="0052175F"/>
    <w:rsid w:val="00522467"/>
    <w:rsid w:val="0053077B"/>
    <w:rsid w:val="00530948"/>
    <w:rsid w:val="0053480C"/>
    <w:rsid w:val="0053512E"/>
    <w:rsid w:val="00535826"/>
    <w:rsid w:val="00535CC6"/>
    <w:rsid w:val="00536B4A"/>
    <w:rsid w:val="00537189"/>
    <w:rsid w:val="00551543"/>
    <w:rsid w:val="00554164"/>
    <w:rsid w:val="00555019"/>
    <w:rsid w:val="00555E74"/>
    <w:rsid w:val="00555F46"/>
    <w:rsid w:val="00556923"/>
    <w:rsid w:val="00556F39"/>
    <w:rsid w:val="005603B0"/>
    <w:rsid w:val="005634B2"/>
    <w:rsid w:val="00563662"/>
    <w:rsid w:val="00563669"/>
    <w:rsid w:val="0057265F"/>
    <w:rsid w:val="00575CB0"/>
    <w:rsid w:val="005772F7"/>
    <w:rsid w:val="00582894"/>
    <w:rsid w:val="00583FF3"/>
    <w:rsid w:val="00584F28"/>
    <w:rsid w:val="005852F6"/>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E1E2F"/>
    <w:rsid w:val="005F3C51"/>
    <w:rsid w:val="005F62D0"/>
    <w:rsid w:val="00602210"/>
    <w:rsid w:val="00607E5D"/>
    <w:rsid w:val="00611A73"/>
    <w:rsid w:val="006219A1"/>
    <w:rsid w:val="00623AB3"/>
    <w:rsid w:val="006311FE"/>
    <w:rsid w:val="0063123B"/>
    <w:rsid w:val="00631F9A"/>
    <w:rsid w:val="00633829"/>
    <w:rsid w:val="00636E8F"/>
    <w:rsid w:val="00637C8F"/>
    <w:rsid w:val="006408AC"/>
    <w:rsid w:val="00640D24"/>
    <w:rsid w:val="00642E75"/>
    <w:rsid w:val="00645D6F"/>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3C89"/>
    <w:rsid w:val="006A5F84"/>
    <w:rsid w:val="006A601D"/>
    <w:rsid w:val="006B0AB1"/>
    <w:rsid w:val="006B145B"/>
    <w:rsid w:val="006B35C8"/>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0F73"/>
    <w:rsid w:val="00703B91"/>
    <w:rsid w:val="00704477"/>
    <w:rsid w:val="00711C72"/>
    <w:rsid w:val="0071212E"/>
    <w:rsid w:val="0071243A"/>
    <w:rsid w:val="00720411"/>
    <w:rsid w:val="00722016"/>
    <w:rsid w:val="00724C93"/>
    <w:rsid w:val="00724D0C"/>
    <w:rsid w:val="00725082"/>
    <w:rsid w:val="0073450F"/>
    <w:rsid w:val="007520CA"/>
    <w:rsid w:val="0075384B"/>
    <w:rsid w:val="007552DC"/>
    <w:rsid w:val="00760195"/>
    <w:rsid w:val="007625F7"/>
    <w:rsid w:val="00763299"/>
    <w:rsid w:val="00763B1C"/>
    <w:rsid w:val="007659A5"/>
    <w:rsid w:val="0076610D"/>
    <w:rsid w:val="007666CD"/>
    <w:rsid w:val="00772E0E"/>
    <w:rsid w:val="0077355A"/>
    <w:rsid w:val="00775F12"/>
    <w:rsid w:val="00776632"/>
    <w:rsid w:val="00776BF7"/>
    <w:rsid w:val="00777E99"/>
    <w:rsid w:val="007858B9"/>
    <w:rsid w:val="00791DAC"/>
    <w:rsid w:val="00792A1B"/>
    <w:rsid w:val="00794EE6"/>
    <w:rsid w:val="00795949"/>
    <w:rsid w:val="00797C04"/>
    <w:rsid w:val="007A0045"/>
    <w:rsid w:val="007A1101"/>
    <w:rsid w:val="007A302D"/>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15BD5"/>
    <w:rsid w:val="008201BB"/>
    <w:rsid w:val="008214E2"/>
    <w:rsid w:val="008227A5"/>
    <w:rsid w:val="00822E7E"/>
    <w:rsid w:val="008272ED"/>
    <w:rsid w:val="00830347"/>
    <w:rsid w:val="00830BE9"/>
    <w:rsid w:val="00833EBD"/>
    <w:rsid w:val="008413B3"/>
    <w:rsid w:val="008428B9"/>
    <w:rsid w:val="00847AF4"/>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22F"/>
    <w:rsid w:val="008A39B7"/>
    <w:rsid w:val="008A6DE2"/>
    <w:rsid w:val="008B230C"/>
    <w:rsid w:val="008C4E79"/>
    <w:rsid w:val="008C5A40"/>
    <w:rsid w:val="008C5DAA"/>
    <w:rsid w:val="008C6A92"/>
    <w:rsid w:val="008D065E"/>
    <w:rsid w:val="008E007A"/>
    <w:rsid w:val="008E40E2"/>
    <w:rsid w:val="008E4E60"/>
    <w:rsid w:val="008E5F59"/>
    <w:rsid w:val="008E7A2D"/>
    <w:rsid w:val="008F3866"/>
    <w:rsid w:val="008F4FF6"/>
    <w:rsid w:val="009143FD"/>
    <w:rsid w:val="00920A51"/>
    <w:rsid w:val="00922542"/>
    <w:rsid w:val="00923EDA"/>
    <w:rsid w:val="009251E3"/>
    <w:rsid w:val="00925DBE"/>
    <w:rsid w:val="00930AD1"/>
    <w:rsid w:val="00930E96"/>
    <w:rsid w:val="00933F06"/>
    <w:rsid w:val="0093582A"/>
    <w:rsid w:val="009372A3"/>
    <w:rsid w:val="00945CA1"/>
    <w:rsid w:val="0094670B"/>
    <w:rsid w:val="00950B0C"/>
    <w:rsid w:val="009679FA"/>
    <w:rsid w:val="00973EC5"/>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686A"/>
    <w:rsid w:val="009F7E6A"/>
    <w:rsid w:val="00A039CA"/>
    <w:rsid w:val="00A04004"/>
    <w:rsid w:val="00A101C9"/>
    <w:rsid w:val="00A11551"/>
    <w:rsid w:val="00A11F12"/>
    <w:rsid w:val="00A13EB8"/>
    <w:rsid w:val="00A1746F"/>
    <w:rsid w:val="00A2645C"/>
    <w:rsid w:val="00A277E9"/>
    <w:rsid w:val="00A31EF5"/>
    <w:rsid w:val="00A41B28"/>
    <w:rsid w:val="00A5099A"/>
    <w:rsid w:val="00A512A5"/>
    <w:rsid w:val="00A512C9"/>
    <w:rsid w:val="00A539E4"/>
    <w:rsid w:val="00A542AF"/>
    <w:rsid w:val="00A55A8E"/>
    <w:rsid w:val="00A56046"/>
    <w:rsid w:val="00A62073"/>
    <w:rsid w:val="00A63E3C"/>
    <w:rsid w:val="00A665A2"/>
    <w:rsid w:val="00A7016F"/>
    <w:rsid w:val="00A72C82"/>
    <w:rsid w:val="00A75650"/>
    <w:rsid w:val="00A76A6E"/>
    <w:rsid w:val="00A812E9"/>
    <w:rsid w:val="00A82710"/>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275B"/>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44B08"/>
    <w:rsid w:val="00B44DC5"/>
    <w:rsid w:val="00B4772C"/>
    <w:rsid w:val="00B51209"/>
    <w:rsid w:val="00B51D5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E45D5"/>
    <w:rsid w:val="00BF1A9A"/>
    <w:rsid w:val="00C01E30"/>
    <w:rsid w:val="00C05EBE"/>
    <w:rsid w:val="00C12AF0"/>
    <w:rsid w:val="00C13C29"/>
    <w:rsid w:val="00C1524D"/>
    <w:rsid w:val="00C17310"/>
    <w:rsid w:val="00C20179"/>
    <w:rsid w:val="00C20F71"/>
    <w:rsid w:val="00C302E1"/>
    <w:rsid w:val="00C3235B"/>
    <w:rsid w:val="00C34E40"/>
    <w:rsid w:val="00C40278"/>
    <w:rsid w:val="00C41328"/>
    <w:rsid w:val="00C41919"/>
    <w:rsid w:val="00C45D2B"/>
    <w:rsid w:val="00C52305"/>
    <w:rsid w:val="00C61312"/>
    <w:rsid w:val="00C6189A"/>
    <w:rsid w:val="00C629CF"/>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001"/>
    <w:rsid w:val="00CA3F76"/>
    <w:rsid w:val="00CA6C68"/>
    <w:rsid w:val="00CB228C"/>
    <w:rsid w:val="00CB616B"/>
    <w:rsid w:val="00CC189A"/>
    <w:rsid w:val="00CC7DE2"/>
    <w:rsid w:val="00CD68C0"/>
    <w:rsid w:val="00CD6FC9"/>
    <w:rsid w:val="00CD7F25"/>
    <w:rsid w:val="00CF2DE2"/>
    <w:rsid w:val="00CF30C4"/>
    <w:rsid w:val="00CF6CFA"/>
    <w:rsid w:val="00D02E23"/>
    <w:rsid w:val="00D11009"/>
    <w:rsid w:val="00D1214C"/>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44458"/>
    <w:rsid w:val="00D50FCB"/>
    <w:rsid w:val="00D52CBF"/>
    <w:rsid w:val="00D5306D"/>
    <w:rsid w:val="00D541A5"/>
    <w:rsid w:val="00D576CA"/>
    <w:rsid w:val="00D60913"/>
    <w:rsid w:val="00D662AA"/>
    <w:rsid w:val="00D666C8"/>
    <w:rsid w:val="00D66F04"/>
    <w:rsid w:val="00D678AC"/>
    <w:rsid w:val="00D71AF3"/>
    <w:rsid w:val="00D75213"/>
    <w:rsid w:val="00D75E7A"/>
    <w:rsid w:val="00D7711A"/>
    <w:rsid w:val="00D82847"/>
    <w:rsid w:val="00D82A0E"/>
    <w:rsid w:val="00D83918"/>
    <w:rsid w:val="00D83D1B"/>
    <w:rsid w:val="00D84B0D"/>
    <w:rsid w:val="00D86B5F"/>
    <w:rsid w:val="00D8717C"/>
    <w:rsid w:val="00D90043"/>
    <w:rsid w:val="00D9150E"/>
    <w:rsid w:val="00D91D64"/>
    <w:rsid w:val="00D92D6A"/>
    <w:rsid w:val="00D93DB5"/>
    <w:rsid w:val="00D979C6"/>
    <w:rsid w:val="00DA4AB8"/>
    <w:rsid w:val="00DA7DB7"/>
    <w:rsid w:val="00DB4A9B"/>
    <w:rsid w:val="00DC50E2"/>
    <w:rsid w:val="00DC54A0"/>
    <w:rsid w:val="00DC6C9C"/>
    <w:rsid w:val="00DD0624"/>
    <w:rsid w:val="00DD13B0"/>
    <w:rsid w:val="00DD2B6E"/>
    <w:rsid w:val="00DD5838"/>
    <w:rsid w:val="00DE13B8"/>
    <w:rsid w:val="00DE7055"/>
    <w:rsid w:val="00DE71AB"/>
    <w:rsid w:val="00DF0F0D"/>
    <w:rsid w:val="00DF7145"/>
    <w:rsid w:val="00DF7327"/>
    <w:rsid w:val="00DF7EE0"/>
    <w:rsid w:val="00E0295D"/>
    <w:rsid w:val="00E0396B"/>
    <w:rsid w:val="00E13CDE"/>
    <w:rsid w:val="00E14620"/>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3DBE"/>
    <w:rsid w:val="00E653F0"/>
    <w:rsid w:val="00E66C96"/>
    <w:rsid w:val="00E672EF"/>
    <w:rsid w:val="00E708FC"/>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D5E1D"/>
    <w:rsid w:val="00EE0ED9"/>
    <w:rsid w:val="00EE23B1"/>
    <w:rsid w:val="00EE2E55"/>
    <w:rsid w:val="00EE456E"/>
    <w:rsid w:val="00EF1C05"/>
    <w:rsid w:val="00EF3951"/>
    <w:rsid w:val="00EF6426"/>
    <w:rsid w:val="00EF6552"/>
    <w:rsid w:val="00EF7223"/>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B2706"/>
    <w:rsid w:val="00FB3374"/>
    <w:rsid w:val="00FB43DA"/>
    <w:rsid w:val="00FB67DE"/>
    <w:rsid w:val="00FB72DE"/>
    <w:rsid w:val="00FD1E84"/>
    <w:rsid w:val="00FD23CD"/>
    <w:rsid w:val="00FD659C"/>
    <w:rsid w:val="00FD68B9"/>
    <w:rsid w:val="00FD6CB9"/>
    <w:rsid w:val="00FE1372"/>
    <w:rsid w:val="00FE3081"/>
    <w:rsid w:val="00FE3E3B"/>
    <w:rsid w:val="00FE689C"/>
    <w:rsid w:val="00FE7134"/>
    <w:rsid w:val="00FE7472"/>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val="en-GB" w:eastAsia="en-US"/>
    </w:rPr>
  </w:style>
  <w:style w:type="paragraph" w:styleId="Balk1">
    <w:name w:val="heading 1"/>
    <w:basedOn w:val="Normal"/>
    <w:next w:val="Normal"/>
    <w:link w:val="Balk1Char"/>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lang w:val="sv-SE"/>
    </w:rPr>
  </w:style>
  <w:style w:type="paragraph" w:styleId="Balk5">
    <w:name w:val="heading 5"/>
    <w:basedOn w:val="Normal"/>
    <w:next w:val="Normal"/>
    <w:link w:val="Balk5Char"/>
    <w:qFormat/>
    <w:pPr>
      <w:numPr>
        <w:ilvl w:val="4"/>
        <w:numId w:val="2"/>
      </w:numPr>
      <w:spacing w:before="240" w:after="60"/>
      <w:outlineLvl w:val="4"/>
    </w:pPr>
    <w:rPr>
      <w:sz w:val="22"/>
      <w:lang w:val="sv-SE"/>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lang w:val="sv-SE"/>
    </w:rPr>
  </w:style>
  <w:style w:type="paragraph" w:styleId="Balk7">
    <w:name w:val="heading 7"/>
    <w:basedOn w:val="Normal"/>
    <w:next w:val="Normal"/>
    <w:link w:val="Balk7Char"/>
    <w:qFormat/>
    <w:pPr>
      <w:numPr>
        <w:ilvl w:val="6"/>
        <w:numId w:val="2"/>
      </w:numPr>
      <w:spacing w:before="240" w:after="60"/>
      <w:outlineLvl w:val="6"/>
    </w:pPr>
    <w:rPr>
      <w:lang w:val="sv-SE"/>
    </w:rPr>
  </w:style>
  <w:style w:type="paragraph" w:styleId="Balk8">
    <w:name w:val="heading 8"/>
    <w:basedOn w:val="Normal"/>
    <w:next w:val="Normal"/>
    <w:link w:val="Balk8Char"/>
    <w:qFormat/>
    <w:pPr>
      <w:numPr>
        <w:ilvl w:val="7"/>
        <w:numId w:val="2"/>
      </w:numPr>
      <w:spacing w:before="240" w:after="60"/>
      <w:outlineLvl w:val="7"/>
    </w:pPr>
    <w:rPr>
      <w:i/>
      <w:lang w:val="sv-SE"/>
    </w:rPr>
  </w:style>
  <w:style w:type="paragraph" w:styleId="Balk9">
    <w:name w:val="heading 9"/>
    <w:basedOn w:val="Normal"/>
    <w:next w:val="Normal"/>
    <w:link w:val="Balk9Char"/>
    <w:qFormat/>
    <w:pPr>
      <w:numPr>
        <w:ilvl w:val="8"/>
        <w:numId w:val="2"/>
      </w:numPr>
      <w:spacing w:before="240" w:after="60"/>
      <w:outlineLvl w:val="8"/>
    </w:pPr>
    <w:rPr>
      <w:b/>
      <w:i/>
      <w:sz w:val="18"/>
      <w:lang w:val="sv-S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before="0" w:after="0"/>
      <w:jc w:val="both"/>
    </w:pPr>
    <w:rPr>
      <w:rFonts w:ascii="Times New Roman" w:hAnsi="Times New Roman"/>
      <w:sz w:val="24"/>
      <w:lang w:val="sv-SE"/>
    </w:rPr>
  </w:style>
  <w:style w:type="paragraph" w:styleId="GvdeMetni">
    <w:name w:val="Body Text"/>
    <w:basedOn w:val="Normal"/>
    <w:link w:val="GvdeMetniChar"/>
    <w:rPr>
      <w:lang w:val="sv-SE"/>
    </w:rP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lang w:val="sv-SE"/>
    </w:rPr>
  </w:style>
  <w:style w:type="paragraph" w:styleId="GvdeMetniGirintisi3">
    <w:name w:val="Body Text Indent 3"/>
    <w:basedOn w:val="Normal"/>
    <w:link w:val="GvdeMetniGirintisi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rPr>
      <w:lang w:val="sv-SE"/>
    </w:rPr>
  </w:style>
  <w:style w:type="paragraph" w:styleId="AltBilgi">
    <w:name w:val="footer"/>
    <w:basedOn w:val="Normal"/>
    <w:link w:val="AltBilgiChar"/>
    <w:uiPriority w:val="99"/>
    <w:pPr>
      <w:tabs>
        <w:tab w:val="center" w:pos="4320"/>
        <w:tab w:val="right" w:pos="8640"/>
      </w:tabs>
    </w:pPr>
    <w:rPr>
      <w:lang w:val="sv-SE"/>
    </w:r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47783A"/>
    <w:pPr>
      <w:numPr>
        <w:numId w:val="1"/>
      </w:numPr>
      <w:tabs>
        <w:tab w:val="right" w:pos="567"/>
      </w:tabs>
    </w:pPr>
    <w:rPr>
      <w:rFonts w:ascii="Times New Roman" w:hAnsi="Times New Roman"/>
      <w:bCs/>
      <w:iCs/>
      <w:sz w:val="24"/>
      <w:szCs w:val="24"/>
    </w:rPr>
  </w:style>
  <w:style w:type="character" w:customStyle="1" w:styleId="Balk2Char">
    <w:name w:val="Başlık 2 Char"/>
    <w:link w:val="Balk2"/>
    <w:semiHidden/>
    <w:locked/>
    <w:rsid w:val="0047783A"/>
    <w:rPr>
      <w:rFonts w:ascii="Arial" w:hAnsi="Arial"/>
      <w:snapToGrid w:val="0"/>
      <w:lang w:val="fr-BE" w:eastAsia="en-US" w:bidi="ar-SA"/>
    </w:rPr>
  </w:style>
  <w:style w:type="character" w:customStyle="1" w:styleId="Balk1Char">
    <w:name w:val="Başlık 1 Char"/>
    <w:link w:val="Balk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semiHidden/>
    <w:locked/>
    <w:rsid w:val="0047783A"/>
    <w:rPr>
      <w:snapToGrid w:val="0"/>
      <w:sz w:val="24"/>
      <w:lang w:val="sv-SE" w:eastAsia="en-US" w:bidi="ar-SA"/>
    </w:rPr>
  </w:style>
  <w:style w:type="character" w:customStyle="1" w:styleId="GvdeMetniChar">
    <w:name w:val="Gövde Metni Char"/>
    <w:link w:val="GvdeMetni"/>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uiPriority w:val="99"/>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AklamaBavurusu">
    <w:name w:val="annotation reference"/>
    <w:uiPriority w:val="99"/>
    <w:rsid w:val="00EE23B1"/>
    <w:rPr>
      <w:sz w:val="16"/>
      <w:szCs w:val="16"/>
    </w:rPr>
  </w:style>
  <w:style w:type="paragraph" w:styleId="AklamaMetni">
    <w:name w:val="annotation text"/>
    <w:basedOn w:val="Normal"/>
    <w:link w:val="AklamaMetniChar"/>
    <w:uiPriority w:val="99"/>
    <w:semiHidden/>
    <w:rsid w:val="00EE23B1"/>
  </w:style>
  <w:style w:type="paragraph" w:styleId="AklamaKonusu">
    <w:name w:val="annotation subject"/>
    <w:basedOn w:val="AklamaMetni"/>
    <w:next w:val="AklamaMetni"/>
    <w:semiHidden/>
    <w:rsid w:val="00EE23B1"/>
    <w:rPr>
      <w:b/>
      <w:bCs/>
    </w:rPr>
  </w:style>
  <w:style w:type="paragraph" w:styleId="ListeNumara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AklamaMetniChar">
    <w:name w:val="Açıklama Metni Char"/>
    <w:link w:val="AklamaMetni"/>
    <w:uiPriority w:val="99"/>
    <w:semiHidden/>
    <w:rsid w:val="00240B1F"/>
    <w:rPr>
      <w:rFonts w:ascii="Arial" w:hAnsi="Arial"/>
      <w:snapToGrid w:val="0"/>
      <w:lang w:eastAsia="en-US"/>
    </w:rPr>
  </w:style>
  <w:style w:type="paragraph" w:styleId="Dzeltme">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eParagraf">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styleId="zmlenmeyenBahsetme">
    <w:name w:val="Unresolved Mention"/>
    <w:uiPriority w:val="99"/>
    <w:semiHidden/>
    <w:unhideWhenUsed/>
    <w:rsid w:val="006A601D"/>
    <w:rPr>
      <w:color w:val="605E5C"/>
      <w:shd w:val="clear" w:color="auto" w:fill="E1DFDD"/>
    </w:rPr>
  </w:style>
  <w:style w:type="paragraph" w:customStyle="1" w:styleId="TableContents">
    <w:name w:val="Table Contents"/>
    <w:basedOn w:val="Normal"/>
    <w:qFormat/>
    <w:rsid w:val="005E1E2F"/>
    <w:pPr>
      <w:widowControl w:val="0"/>
      <w:suppressLineNumbers/>
      <w:suppressAutoHyphens/>
    </w:pPr>
    <w:rPr>
      <w:snapToGrid/>
    </w:rPr>
  </w:style>
  <w:style w:type="paragraph" w:customStyle="1" w:styleId="CharCharChar">
    <w:name w:val="Char Char Char"/>
    <w:basedOn w:val="Normal"/>
    <w:link w:val="DipnotBavurusu"/>
    <w:rsid w:val="005E1E2F"/>
    <w:pPr>
      <w:spacing w:before="0" w:after="0" w:line="240" w:lineRule="exact"/>
    </w:pPr>
    <w:rPr>
      <w:rFonts w:ascii="Times New Roman" w:hAnsi="Times New Roman"/>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trprojectvize@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ec.europa.eu/europeaid/funding/communication-and-visibility-manual-eu-external-actions_en"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communication/SustainaMetal.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2691</Words>
  <Characters>17520</Characters>
  <Application>Microsoft Office Word</Application>
  <DocSecurity>0</DocSecurity>
  <Lines>515</Lines>
  <Paragraphs>217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19994</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shenay cekic</cp:lastModifiedBy>
  <cp:revision>44</cp:revision>
  <cp:lastPrinted>2014-02-11T14:32:00Z</cp:lastPrinted>
  <dcterms:created xsi:type="dcterms:W3CDTF">2025-03-17T17:03:00Z</dcterms:created>
  <dcterms:modified xsi:type="dcterms:W3CDTF">2025-10-28T17:33:00Z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